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 xml:space="preserve">UNIVERSITI TEKNOLOGI MARA</w:t>
        <w:br/>
        <w:t xml:space="preserve">MARKING SCHEME</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 xml:space="preserve">MARKING SCHEME NOTES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 xml:space="preserve">This marking scheme accompanies the CSC662 mock paper (October 2026).</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 xml:space="preserve">Computed answers show working; theory answers are supported by lecture slides (not lecturer-marked); verbatim quotes are omitted in this public build; slide citations are retained.</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 xml:space="preserve">Supported theory marking points quote the lecture decks; any unresolved slot would remain a visible placeholder.</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Part A = 10 x (2 + 6); Part B = 2 x (5 + 5); total = 100 marks.</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 xml:space="preserve">Computed: 3 slot(s). Supported theory: 19 slots. Placeholders: 2.</w:t>
      </w:r>
      <w:proofErr w:type="spellStart"/>
      <w:proofErr w:type="spellEnd"/>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 xml:space="preserve">Questions and answers are for local study use only.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 xml:space="preserve">Near-copy rejection used all 35 past papers; style widening is recorded per slot.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 xml:space="preserve">FOR MARKERS' USE ONLY</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marking scheme consists of 14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pPr>
        <w:spacing w:before="0" w:after="80"/>
        <w:jc w:val="center"/>
      </w:pPr>
      <w:r>
        <w:rPr>
          <w:rFonts w:ascii="Arial" w:hAnsi="Arial" w:eastAsia="Arial" w:cs="Arial"/>
          <w:b/>
          <w:i w:val="0"/>
          <w:sz w:val="28"/>
        </w:rPr>
        <w:t>CSC662 - MARKING SCHEME (MOCK OCTOBER 2026)</w:t>
      </w:r>
    </w:p>
    <w:p>
      <w:pPr>
        <w:spacing w:before="0" w:after="80"/>
      </w:pPr>
      <w:r>
        <w:rPr>
          <w:rFonts w:ascii="Arial" w:hAnsi="Arial" w:eastAsia="Arial" w:cs="Arial"/>
          <w:b w:val="0"/>
          <w:i/>
          <w:sz w:val="18"/>
        </w:rPr>
        <w:t>Labels: computed / supported by lecture slides (not lecturer-marked) / placeholder. No official marking scheme exists for the real CSC662 papers; this is generated for the mock.</w:t>
      </w:r>
    </w:p>
    <w:p>
      <w:pPr>
        <w:spacing w:before="0" w:after="200"/>
      </w:pPr>
      <w:r>
        <w:rPr>
          <w:rFonts w:ascii="Arial" w:hAnsi="Arial" w:eastAsia="Arial" w:cs="Arial"/>
          <w:b w:val="0"/>
          <w:i/>
          <w:sz w:val="18"/>
        </w:rPr>
        <w:t>Entailment labels: supported = the private quote directly supports the point (or the point passed the stem-overlap gate); partly supported = partial/ambiguous support; not supported = no support. Quote text is omitted here; verdicts come from private verification.</w:t>
      </w:r>
    </w:p>
    <w:p>
      <w:pPr>
        <w:spacing w:before="0" w:after="120"/>
      </w:pPr>
      <w:r>
        <w:rPr>
          <w:rFonts w:ascii="Arial" w:hAnsi="Arial" w:eastAsia="Arial" w:cs="Arial"/>
          <w:b w:val="0"/>
          <w:i w:val="0"/>
          <w:sz w:val="20"/>
        </w:rPr>
        <w:t>Part A: 10 x (2 + 6) = 80 marks. Part B: 2 x (5 + 5) = 20 marks. Total: 100 marks. Slots: 3 computed, 19 supported by lecture slides, 2 placeholder.</w:t>
      </w:r>
    </w:p>
    <w:p>
      <w:pPr>
        <w:spacing w:before="0" w:after="200"/>
      </w:pPr>
      <w:r>
        <w:rPr>
          <w:rFonts w:ascii="Arial" w:hAnsi="Arial" w:eastAsia="Arial" w:cs="Arial"/>
          <w:b w:val="0"/>
          <w:i/>
          <w:sz w:val="18"/>
        </w:rPr>
        <w:t>Methods: computed answers use verified solvers. Theory answers are supported by lecture slides (not lecturer-marked). Each point carries a deck/slide citation and overlap score; verbatim quote text is omitted from this public build. Low overlap is flagged for human review.</w:t>
      </w:r>
    </w:p>
    <w:p>
      <w:pPr>
        <w:spacing w:before="240" w:after="40"/>
      </w:pPr>
      <w:r>
        <w:rPr>
          <w:rFonts w:ascii="Arial" w:hAnsi="Arial" w:eastAsia="Arial" w:cs="Arial"/>
          <w:b/>
          <w:i w:val="0"/>
          <w:sz w:val="24"/>
        </w:rPr>
        <w:t>PART A - QUESTION 1</w:t>
      </w:r>
    </w:p>
    <w:p>
      <w:pPr>
        <w:spacing w:before="200" w:after="40"/>
      </w:pPr>
      <w:r>
        <w:rPr>
          <w:rFonts w:ascii="Arial" w:hAnsi="Arial" w:eastAsia="Arial" w:cs="Arial"/>
          <w:b/>
          <w:i w:val="0"/>
          <w:sz w:val="22"/>
        </w:rPr>
        <w:t>A1a - 2 marks - computed - matches lecture slides 5-9 (Caesar shift 3 examples)</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Using Caesar Cipher technique, decrypt the following ciphertext with a shift of 7 (replace each letter with the one 7 positions to the left).</w:t>
        <w:br/>
        <w:t>KLCPJLYLABYULKHUKDPWLKVUL</w:t>
      </w:r>
    </w:p>
    <w:p>
      <w:pPr>
        <w:spacing w:before="60" w:after="20"/>
      </w:pPr>
      <w:r>
        <w:rPr>
          <w:rFonts w:ascii="Arial" w:hAnsi="Arial" w:eastAsia="Arial" w:cs="Arial"/>
          <w:b/>
          <w:i w:val="0"/>
          <w:sz w:val="20"/>
        </w:rPr>
        <w:t>Answer: DEVICERETURNEDANDWIPEDONE</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C ( 2) -7 mod 26 -&gt; V</w:t>
      </w:r>
    </w:p>
    <w:p>
      <w:pPr>
        <w:spacing w:before="0" w:after="0"/>
        <w:ind w:left="227"/>
      </w:pPr>
      <w:r>
        <w:rPr>
          <w:rFonts w:ascii="Courier New" w:hAnsi="Courier New" w:eastAsia="Courier New" w:cs="Courier New"/>
          <w:b w:val="0"/>
          <w:i w:val="0"/>
          <w:sz w:val="17"/>
        </w:rPr>
        <w:t xml:space="preserve">  P (15) -7 mod 26 -&gt; I</w:t>
      </w:r>
    </w:p>
    <w:p>
      <w:pPr>
        <w:spacing w:before="0" w:after="0"/>
        <w:ind w:left="227"/>
      </w:pPr>
      <w:r>
        <w:rPr>
          <w:rFonts w:ascii="Courier New" w:hAnsi="Courier New" w:eastAsia="Courier New" w:cs="Courier New"/>
          <w:b w:val="0"/>
          <w:i w:val="0"/>
          <w:sz w:val="17"/>
        </w:rPr>
        <w:t xml:space="preserve">  J ( 9) -7 mod 26 -&gt; C</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Y (24) -7 mod 26 -&gt; R</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A ( 0) -7 mod 26 -&gt; T</w:t>
      </w:r>
    </w:p>
    <w:p>
      <w:pPr>
        <w:spacing w:before="0" w:after="0"/>
        <w:ind w:left="227"/>
      </w:pPr>
      <w:r>
        <w:rPr>
          <w:rFonts w:ascii="Courier New" w:hAnsi="Courier New" w:eastAsia="Courier New" w:cs="Courier New"/>
          <w:b w:val="0"/>
          <w:i w:val="0"/>
          <w:sz w:val="17"/>
        </w:rPr>
        <w:t xml:space="preserve">  B ( 1) -7 mod 26 -&gt; U</w:t>
      </w:r>
    </w:p>
    <w:p>
      <w:pPr>
        <w:spacing w:before="0" w:after="0"/>
        <w:ind w:left="227"/>
      </w:pPr>
      <w:r>
        <w:rPr>
          <w:rFonts w:ascii="Courier New" w:hAnsi="Courier New" w:eastAsia="Courier New" w:cs="Courier New"/>
          <w:b w:val="0"/>
          <w:i w:val="0"/>
          <w:sz w:val="17"/>
        </w:rPr>
        <w:t xml:space="preserve">  Y (24) -7 mod 26 -&gt; R</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H ( 7) -7 mod 26 -&gt; A</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D ( 3) -7 mod 26 -&gt; W</w:t>
      </w:r>
    </w:p>
    <w:p>
      <w:pPr>
        <w:spacing w:before="0" w:after="0"/>
        <w:ind w:left="227"/>
      </w:pPr>
      <w:r>
        <w:rPr>
          <w:rFonts w:ascii="Courier New" w:hAnsi="Courier New" w:eastAsia="Courier New" w:cs="Courier New"/>
          <w:b w:val="0"/>
          <w:i w:val="0"/>
          <w:sz w:val="17"/>
        </w:rPr>
        <w:t xml:space="preserve">  P (15) -7 mod 26 -&gt; I</w:t>
      </w:r>
    </w:p>
    <w:p>
      <w:pPr>
        <w:spacing w:before="0" w:after="0"/>
        <w:ind w:left="227"/>
      </w:pPr>
      <w:r>
        <w:rPr>
          <w:rFonts w:ascii="Courier New" w:hAnsi="Courier New" w:eastAsia="Courier New" w:cs="Courier New"/>
          <w:b w:val="0"/>
          <w:i w:val="0"/>
          <w:sz w:val="17"/>
        </w:rPr>
        <w:t xml:space="preserve">  W (22) -7 mod 26 -&gt; P</w:t>
      </w:r>
    </w:p>
    <w:p>
      <w:pPr>
        <w:spacing w:before="0" w:after="0"/>
        <w:ind w:left="227"/>
      </w:pPr>
      <w:r>
        <w:rPr>
          <w:rFonts w:ascii="Courier New" w:hAnsi="Courier New" w:eastAsia="Courier New" w:cs="Courier New"/>
          <w:b w:val="0"/>
          <w:i w:val="0"/>
          <w:sz w:val="17"/>
        </w:rPr>
        <w:t xml:space="preserve">  L (11) -7 mod 26 -&gt; E</w:t>
      </w:r>
    </w:p>
    <w:p>
      <w:pPr>
        <w:spacing w:before="0" w:after="0"/>
        <w:ind w:left="227"/>
      </w:pPr>
      <w:r>
        <w:rPr>
          <w:rFonts w:ascii="Courier New" w:hAnsi="Courier New" w:eastAsia="Courier New" w:cs="Courier New"/>
          <w:b w:val="0"/>
          <w:i w:val="0"/>
          <w:sz w:val="17"/>
        </w:rPr>
        <w:t xml:space="preserve">  K (10) -7 mod 26 -&gt; D</w:t>
      </w:r>
    </w:p>
    <w:p>
      <w:pPr>
        <w:spacing w:before="0" w:after="0"/>
        <w:ind w:left="227"/>
      </w:pPr>
      <w:r>
        <w:rPr>
          <w:rFonts w:ascii="Courier New" w:hAnsi="Courier New" w:eastAsia="Courier New" w:cs="Courier New"/>
          <w:b w:val="0"/>
          <w:i w:val="0"/>
          <w:sz w:val="17"/>
        </w:rPr>
        <w:t xml:space="preserve">  V (21) -7 mod 26 -&gt; O</w:t>
      </w:r>
    </w:p>
    <w:p>
      <w:pPr>
        <w:spacing w:before="0" w:after="0"/>
        <w:ind w:left="227"/>
      </w:pPr>
      <w:r>
        <w:rPr>
          <w:rFonts w:ascii="Courier New" w:hAnsi="Courier New" w:eastAsia="Courier New" w:cs="Courier New"/>
          <w:b w:val="0"/>
          <w:i w:val="0"/>
          <w:sz w:val="17"/>
        </w:rPr>
        <w:t xml:space="preserve">  U (20) -7 mod 26 -&gt; N</w:t>
      </w:r>
    </w:p>
    <w:p>
      <w:pPr>
        <w:spacing w:before="0" w:after="0"/>
        <w:ind w:left="227"/>
      </w:pPr>
      <w:r>
        <w:rPr>
          <w:rFonts w:ascii="Courier New" w:hAnsi="Courier New" w:eastAsia="Courier New" w:cs="Courier New"/>
          <w:b w:val="0"/>
          <w:i w:val="0"/>
          <w:sz w:val="17"/>
        </w:rPr>
        <w:t xml:space="preserve">  L (11) -7 mod 26 -&gt; E</w:t>
      </w:r>
    </w:p>
    <w:p>
      <w:pPr>
        <w:spacing w:before="80" w:after="40"/>
      </w:pPr>
      <w:r>
        <w:rPr>
          <w:rFonts w:ascii="Arial" w:hAnsi="Arial" w:eastAsia="Arial" w:cs="Arial"/>
          <w:b w:val="0"/>
          <w:i/>
          <w:sz w:val="18"/>
        </w:rPr>
        <w:t>Suggested marks: 1 mark for identifying the cipher/shift direction; 1 mark for the complete plaintext.</w:t>
      </w:r>
    </w:p>
    <w:p>
      <w:pPr>
        <w:spacing w:before="0" w:after="120"/>
      </w:pPr>
      <w:r>
        <w:rPr>
          <w:rFonts w:ascii="Arial" w:hAnsi="Arial" w:eastAsia="Arial" w:cs="Arial"/>
          <w:b w:val="0"/>
          <w:i/>
          <w:sz w:val="18"/>
        </w:rPr>
        <w:t>Confidence: computed - matches lecture slides 5-9 (Caesar shift 3 examples).</w:t>
      </w:r>
    </w:p>
    <w:p>
      <w:pPr>
        <w:spacing w:before="200" w:after="40"/>
      </w:pPr>
      <w:r>
        <w:rPr>
          <w:rFonts w:ascii="Arial" w:hAnsi="Arial" w:eastAsia="Arial" w:cs="Arial"/>
          <w:b/>
          <w:i w:val="0"/>
          <w:sz w:val="22"/>
        </w:rPr>
        <w:t>A1b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facts about substitution ciphers as presented in the lecture, covering what the cipher does to plain-text letters, what serves as the key, the resulting output, the Shannon principle it corresponds to, and where the idea is applied today.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cipher works by swapping each plain-text letter for a different letter.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text produced after the replacement is called the cipher-text.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0.33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rule used to perform the substitution acts as the key.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This substitution mechanism maps onto Shannon's confusion principle.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same substitution concept carries over into contemporary cipher designs.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4</w:t>
              <w:br/>
              <w:t>031 -​ Classical Cryptography::​s04::​1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0.11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Vigenere's polyalphabetic scheme extends the Caesar shift cipher.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14</w:t>
              <w:br/>
              <w:t>031 -​ Classical Cryptography::​s14::​1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031 - Classical Cryptography, slide 14; 031 - Classical Cryptography, slide 4</w:t>
      </w:r>
    </w:p>
    <w:p>
      <w:pPr>
        <w:spacing w:before="240" w:after="40"/>
      </w:pPr>
      <w:r>
        <w:rPr>
          <w:rFonts w:ascii="Arial" w:hAnsi="Arial" w:eastAsia="Arial" w:cs="Arial"/>
          <w:b/>
          <w:i w:val="0"/>
          <w:sz w:val="24"/>
        </w:rPr>
        <w:t>PART A - QUESTION 2</w:t>
      </w:r>
    </w:p>
    <w:p>
      <w:pPr>
        <w:spacing w:before="200" w:after="40"/>
      </w:pPr>
      <w:r>
        <w:rPr>
          <w:rFonts w:ascii="Arial" w:hAnsi="Arial" w:eastAsia="Arial" w:cs="Arial"/>
          <w:b/>
          <w:i w:val="0"/>
          <w:sz w:val="22"/>
        </w:rPr>
        <w:t>A2a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two facts about transposition ciphers as described in the lecture, covering how the rail fence cipher arranges plain-text and what serves as its key.</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rail fence cipher writes the plain-text in a zigzag pattern across rows and then reads letters off row by row to form the cipher-text.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25</w:t>
              <w:br/>
              <w:t>031 -​ Classical Cryptography::​s25::​1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key of a rail fence cipher is a positive integer giving the number of rows.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031 - Classical Cryptography, slide 25</w:t>
              <w:br/>
              <w:t>031 -​ Classical Cryptography::​s25::​1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031 - Classical Cryptography, slide 25</w:t>
      </w:r>
    </w:p>
    <w:p>
      <w:pPr>
        <w:spacing w:before="200" w:after="40"/>
      </w:pPr>
      <w:r>
        <w:rPr>
          <w:rFonts w:ascii="Arial" w:hAnsi="Arial" w:eastAsia="Arial" w:cs="Arial"/>
          <w:b/>
          <w:i w:val="0"/>
          <w:sz w:val="22"/>
        </w:rPr>
        <w:t>A2b - 6 marks - computed - matches lecture slide 15 (standard tableau)</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Decrypt the following ciphertext using the Vigenere cipher with the key CIPHER. Use the standard 26 x 26 Vigenere tableau, writing the key over the message and repeating it as necessary.</w:t>
        <w:br/>
        <w:t>UMRBVVNWVPREQE</w:t>
      </w:r>
    </w:p>
    <w:p>
      <w:pPr>
        <w:spacing w:before="60" w:after="20"/>
      </w:pPr>
      <w:r>
        <w:rPr>
          <w:rFonts w:ascii="Arial" w:hAnsi="Arial" w:eastAsia="Arial" w:cs="Arial"/>
          <w:b/>
          <w:i w:val="0"/>
          <w:sz w:val="20"/>
        </w:rPr>
        <w:t>Answer: SECURELOGINNOW</w:t>
      </w:r>
    </w:p>
    <w:p>
      <w:pPr>
        <w:spacing w:before="0" w:after="40"/>
      </w:pPr>
      <w:r>
        <w:rPr>
          <w:rFonts w:ascii="Arial" w:hAnsi="Arial" w:eastAsia="Arial" w:cs="Arial"/>
          <w:b w:val="0"/>
          <w:i/>
          <w:sz w:val="18"/>
        </w:rPr>
        <w:t>The 26 x 26 Vigenere tableau is printed in the question paper.</w:t>
      </w:r>
    </w:p>
    <w:p>
      <w:pPr>
        <w:spacing w:before="80" w:after="40"/>
      </w:pPr>
      <w:r>
        <w:rPr>
          <w:rFonts w:ascii="Arial" w:hAnsi="Arial" w:eastAsia="Arial" w:cs="Arial"/>
          <w:b/>
          <w:i w:val="0"/>
          <w:sz w:val="20"/>
        </w:rPr>
        <w:t>Working:</w:t>
      </w:r>
    </w:p>
    <w:p>
      <w:pPr>
        <w:spacing w:before="0" w:after="0"/>
        <w:ind w:left="227"/>
      </w:pPr>
      <w:r>
        <w:rPr>
          <w:rFonts w:ascii="Courier New" w:hAnsi="Courier New" w:eastAsia="Courier New" w:cs="Courier New"/>
          <w:b w:val="0"/>
          <w:i w:val="0"/>
          <w:sz w:val="17"/>
        </w:rPr>
        <w:t>Standard 26 x 26 tableau, A=0; key repeated over the ciphertext.</w:t>
      </w:r>
    </w:p>
    <w:p>
      <w:pPr>
        <w:spacing w:before="0" w:after="0"/>
        <w:ind w:left="227"/>
      </w:pPr>
      <w:r>
        <w:rPr>
          <w:rFonts w:ascii="Courier New" w:hAnsi="Courier New" w:eastAsia="Courier New" w:cs="Courier New"/>
          <w:b w:val="0"/>
          <w:i w:val="0"/>
          <w:sz w:val="17"/>
        </w:rPr>
        <w:t>Ciphertext: UMRBVVNWVPREQE</w:t>
      </w:r>
    </w:p>
    <w:p>
      <w:pPr>
        <w:spacing w:before="0" w:after="0"/>
        <w:ind w:left="227"/>
      </w:pPr>
      <w:r>
        <w:rPr>
          <w:rFonts w:ascii="Courier New" w:hAnsi="Courier New" w:eastAsia="Courier New" w:cs="Courier New"/>
          <w:b w:val="0"/>
          <w:i w:val="0"/>
          <w:sz w:val="17"/>
        </w:rPr>
        <w:t>Key:        CIPHERCIPHERCI</w:t>
      </w:r>
    </w:p>
    <w:p>
      <w:pPr>
        <w:spacing w:before="0" w:after="0"/>
        <w:ind w:left="227"/>
      </w:pPr>
      <w:r>
        <w:rPr>
          <w:rFonts w:ascii="Courier New" w:hAnsi="Courier New" w:eastAsia="Courier New" w:cs="Courier New"/>
          <w:b w:val="0"/>
          <w:i w:val="0"/>
          <w:sz w:val="17"/>
        </w:rPr>
        <w:t>Letter-by-letter: C - K mod 26 = P</w:t>
      </w:r>
    </w:p>
    <w:p>
      <w:pPr>
        <w:spacing w:before="0" w:after="0"/>
        <w:ind w:left="227"/>
      </w:pPr>
      <w:r>
        <w:rPr>
          <w:rFonts w:ascii="Courier New" w:hAnsi="Courier New" w:eastAsia="Courier New" w:cs="Courier New"/>
          <w:b w:val="0"/>
          <w:i w:val="0"/>
          <w:sz w:val="17"/>
        </w:rPr>
        <w:t xml:space="preserve">  U (20) - C ( 2) = 18 -&gt; S</w:t>
      </w:r>
    </w:p>
    <w:p>
      <w:pPr>
        <w:spacing w:before="0" w:after="0"/>
        <w:ind w:left="227"/>
      </w:pPr>
      <w:r>
        <w:rPr>
          <w:rFonts w:ascii="Courier New" w:hAnsi="Courier New" w:eastAsia="Courier New" w:cs="Courier New"/>
          <w:b w:val="0"/>
          <w:i w:val="0"/>
          <w:sz w:val="17"/>
        </w:rPr>
        <w:t xml:space="preserve">  M (12) - I ( 8) =  4 -&gt; E</w:t>
      </w:r>
    </w:p>
    <w:p>
      <w:pPr>
        <w:spacing w:before="0" w:after="0"/>
        <w:ind w:left="227"/>
      </w:pPr>
      <w:r>
        <w:rPr>
          <w:rFonts w:ascii="Courier New" w:hAnsi="Courier New" w:eastAsia="Courier New" w:cs="Courier New"/>
          <w:b w:val="0"/>
          <w:i w:val="0"/>
          <w:sz w:val="17"/>
        </w:rPr>
        <w:t xml:space="preserve">  R (17) - P (15) =  2 -&gt; C</w:t>
      </w:r>
    </w:p>
    <w:p>
      <w:pPr>
        <w:spacing w:before="0" w:after="0"/>
        <w:ind w:left="227"/>
      </w:pPr>
      <w:r>
        <w:rPr>
          <w:rFonts w:ascii="Courier New" w:hAnsi="Courier New" w:eastAsia="Courier New" w:cs="Courier New"/>
          <w:b w:val="0"/>
          <w:i w:val="0"/>
          <w:sz w:val="17"/>
        </w:rPr>
        <w:t xml:space="preserve">  B ( 1) - H ( 7) = 20 -&gt; U</w:t>
      </w:r>
    </w:p>
    <w:p>
      <w:pPr>
        <w:spacing w:before="0" w:after="0"/>
        <w:ind w:left="227"/>
      </w:pPr>
      <w:r>
        <w:rPr>
          <w:rFonts w:ascii="Courier New" w:hAnsi="Courier New" w:eastAsia="Courier New" w:cs="Courier New"/>
          <w:b w:val="0"/>
          <w:i w:val="0"/>
          <w:sz w:val="17"/>
        </w:rPr>
        <w:t xml:space="preserve">  V (21) - E ( 4) = 17 -&gt; R</w:t>
      </w:r>
    </w:p>
    <w:p>
      <w:pPr>
        <w:spacing w:before="0" w:after="0"/>
        <w:ind w:left="227"/>
      </w:pPr>
      <w:r>
        <w:rPr>
          <w:rFonts w:ascii="Courier New" w:hAnsi="Courier New" w:eastAsia="Courier New" w:cs="Courier New"/>
          <w:b w:val="0"/>
          <w:i w:val="0"/>
          <w:sz w:val="17"/>
        </w:rPr>
        <w:t xml:space="preserve">  V (21) - R (17) =  4 -&gt; E</w:t>
      </w:r>
    </w:p>
    <w:p>
      <w:pPr>
        <w:spacing w:before="0" w:after="0"/>
        <w:ind w:left="227"/>
      </w:pPr>
      <w:r>
        <w:rPr>
          <w:rFonts w:ascii="Courier New" w:hAnsi="Courier New" w:eastAsia="Courier New" w:cs="Courier New"/>
          <w:b w:val="0"/>
          <w:i w:val="0"/>
          <w:sz w:val="17"/>
        </w:rPr>
        <w:t xml:space="preserve">  N (13) - C ( 2) = 11 -&gt; L</w:t>
      </w:r>
    </w:p>
    <w:p>
      <w:pPr>
        <w:spacing w:before="0" w:after="0"/>
        <w:ind w:left="227"/>
      </w:pPr>
      <w:r>
        <w:rPr>
          <w:rFonts w:ascii="Courier New" w:hAnsi="Courier New" w:eastAsia="Courier New" w:cs="Courier New"/>
          <w:b w:val="0"/>
          <w:i w:val="0"/>
          <w:sz w:val="17"/>
        </w:rPr>
        <w:t xml:space="preserve">  W (22) - I ( 8) = 14 -&gt; O</w:t>
      </w:r>
    </w:p>
    <w:p>
      <w:pPr>
        <w:spacing w:before="0" w:after="0"/>
        <w:ind w:left="227"/>
      </w:pPr>
      <w:r>
        <w:rPr>
          <w:rFonts w:ascii="Courier New" w:hAnsi="Courier New" w:eastAsia="Courier New" w:cs="Courier New"/>
          <w:b w:val="0"/>
          <w:i w:val="0"/>
          <w:sz w:val="17"/>
        </w:rPr>
        <w:t xml:space="preserve">  V (21) - P (15) =  6 -&gt; G</w:t>
      </w:r>
    </w:p>
    <w:p>
      <w:pPr>
        <w:spacing w:before="0" w:after="0"/>
        <w:ind w:left="227"/>
      </w:pPr>
      <w:r>
        <w:rPr>
          <w:rFonts w:ascii="Courier New" w:hAnsi="Courier New" w:eastAsia="Courier New" w:cs="Courier New"/>
          <w:b w:val="0"/>
          <w:i w:val="0"/>
          <w:sz w:val="17"/>
        </w:rPr>
        <w:t xml:space="preserve">  P (15) - H ( 7) =  8 -&gt; I</w:t>
      </w:r>
    </w:p>
    <w:p>
      <w:pPr>
        <w:spacing w:before="0" w:after="0"/>
        <w:ind w:left="227"/>
      </w:pPr>
      <w:r>
        <w:rPr>
          <w:rFonts w:ascii="Courier New" w:hAnsi="Courier New" w:eastAsia="Courier New" w:cs="Courier New"/>
          <w:b w:val="0"/>
          <w:i w:val="0"/>
          <w:sz w:val="17"/>
        </w:rPr>
        <w:t xml:space="preserve">  R (17) - E ( 4) = 13 -&gt; N</w:t>
      </w:r>
    </w:p>
    <w:p>
      <w:pPr>
        <w:spacing w:before="0" w:after="0"/>
        <w:ind w:left="227"/>
      </w:pPr>
      <w:r>
        <w:rPr>
          <w:rFonts w:ascii="Courier New" w:hAnsi="Courier New" w:eastAsia="Courier New" w:cs="Courier New"/>
          <w:b w:val="0"/>
          <w:i w:val="0"/>
          <w:sz w:val="17"/>
        </w:rPr>
        <w:t xml:space="preserve">  E ( 4) - R (17) = 13 -&gt; N</w:t>
      </w:r>
    </w:p>
    <w:p>
      <w:pPr>
        <w:spacing w:before="0" w:after="0"/>
        <w:ind w:left="227"/>
      </w:pPr>
      <w:r>
        <w:rPr>
          <w:rFonts w:ascii="Courier New" w:hAnsi="Courier New" w:eastAsia="Courier New" w:cs="Courier New"/>
          <w:b w:val="0"/>
          <w:i w:val="0"/>
          <w:sz w:val="17"/>
        </w:rPr>
        <w:t xml:space="preserve">  Q (16) - C ( 2) = 14 -&gt; O</w:t>
      </w:r>
    </w:p>
    <w:p>
      <w:pPr>
        <w:spacing w:before="0" w:after="0"/>
        <w:ind w:left="227"/>
      </w:pPr>
      <w:r>
        <w:rPr>
          <w:rFonts w:ascii="Courier New" w:hAnsi="Courier New" w:eastAsia="Courier New" w:cs="Courier New"/>
          <w:b w:val="0"/>
          <w:i w:val="0"/>
          <w:sz w:val="17"/>
        </w:rPr>
        <w:t xml:space="preserve">  E ( 4) - I ( 8) = 22 -&gt; W</w:t>
      </w:r>
    </w:p>
    <w:p>
      <w:pPr>
        <w:spacing w:before="0" w:after="0"/>
        <w:ind w:left="227"/>
      </w:pPr>
      <w:r>
        <w:rPr>
          <w:rFonts w:ascii="Courier New" w:hAnsi="Courier New" w:eastAsia="Courier New" w:cs="Courier New"/>
          <w:b w:val="0"/>
          <w:i w:val="0"/>
          <w:sz w:val="17"/>
        </w:rPr>
        <w:t>Plaintext:  SECURELOGINNOW</w:t>
      </w:r>
    </w:p>
    <w:p>
      <w:pPr>
        <w:spacing w:before="80" w:after="40"/>
      </w:pPr>
      <w:r>
        <w:rPr>
          <w:rFonts w:ascii="Arial" w:hAnsi="Arial" w:eastAsia="Arial" w:cs="Arial"/>
          <w:b w:val="0"/>
          <w:i/>
          <w:sz w:val="18"/>
        </w:rPr>
        <w:t>Suggested marks: 1 mark for the key/table setup; 4 marks for the letter-by-letter working; 1 mark for the complete answer.</w:t>
      </w:r>
    </w:p>
    <w:p>
      <w:pPr>
        <w:spacing w:before="0" w:after="120"/>
      </w:pPr>
      <w:r>
        <w:rPr>
          <w:rFonts w:ascii="Arial" w:hAnsi="Arial" w:eastAsia="Arial" w:cs="Arial"/>
          <w:b w:val="0"/>
          <w:i/>
          <w:sz w:val="18"/>
        </w:rPr>
        <w:t>Confidence: computed - matches lecture slide 15 (standard tableau).</w:t>
      </w:r>
    </w:p>
    <w:p>
      <w:pPr>
        <w:spacing w:before="240" w:after="40"/>
      </w:pPr>
      <w:r>
        <w:rPr>
          <w:rFonts w:ascii="Arial" w:hAnsi="Arial" w:eastAsia="Arial" w:cs="Arial"/>
          <w:b/>
          <w:i w:val="0"/>
          <w:sz w:val="24"/>
        </w:rPr>
        <w:t>PART A - QUESTION 3</w:t>
      </w:r>
    </w:p>
    <w:p>
      <w:pPr>
        <w:spacing w:before="200" w:after="40"/>
      </w:pPr>
      <w:r>
        <w:rPr>
          <w:rFonts w:ascii="Arial" w:hAnsi="Arial" w:eastAsia="Arial" w:cs="Arial"/>
          <w:b/>
          <w:i w:val="0"/>
          <w:sz w:val="22"/>
        </w:rPr>
        <w:t>A3a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List the stages that make up the identification stage and the authentication stage of a biometric authentication process.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identification stage begins with acquisition of the biometric sample.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identification stage also includes storing the master characteristics.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5</w:t>
              <w:br/>
              <w:t>072 -​ Biometrics and Authentication::​s05::​1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0.17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5</w:t>
      </w:r>
    </w:p>
    <w:p>
      <w:pPr>
        <w:spacing w:before="200" w:after="40"/>
      </w:pPr>
      <w:r>
        <w:rPr>
          <w:rFonts w:ascii="Arial" w:hAnsi="Arial" w:eastAsia="Arial" w:cs="Arial"/>
          <w:b/>
          <w:i w:val="0"/>
          <w:sz w:val="22"/>
        </w:rPr>
        <w:t>A3b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 to your answer in (a). Based on the scenario in (a), discuss the biometric mechanisms and technologies used for authentication. Your discussion should cover the definition of a biometric, the two categories of biometric applications, and specific technologies with their characteristics.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biometric is defined as a physiological or behavioural characteristic of a human being that can distinguish one person from another and can theoretically be used for identification or verification of identity.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2</w:t>
              <w:br/>
              <w:t>072 -​ Biometrics and Authentication::​s02::​1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Biometric applications are categorized into two sectors: psychological (physiological) and behavioural.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0.62</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The psychological category includes iris, fingerprints, hand, retinal and face recognition.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behavioural category includes voice, typing pattern and signature.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4</w:t>
              <w:br/>
              <w:t>072 -​ Biometrics and Authentication::​s04::​1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Retinal scanning is very efficient and cannot be spoofed, but has disadvantages such as the user having to look directly, a high FTE ratio, acceptability concerns, light exposure and hygiene.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9</w:t>
              <w:br/>
              <w:t>072 -​ Biometrics and Authentication::​s09::​1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0.14 LOW</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Iris scanning scans a unique pattern of the iris, requires no touch, and overcomes retinal scanner issues, although contact lenses may be an issue.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072 - Biometrics and Authentication, slide 10</w:t>
              <w:br/>
              <w:t>072 -​ Biometrics and Authentication::​s10::​1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0.29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072 - Biometrics and Authentication, slide 10; 072 - Biometrics and Authentication, slide 2; 072 - Biometrics and Authentication, slide 4; 072 - Biometrics and Authentication, slide 9</w:t>
      </w:r>
    </w:p>
    <w:p>
      <w:pPr>
        <w:spacing w:before="240" w:after="40"/>
      </w:pPr>
      <w:r>
        <w:rPr>
          <w:rFonts w:ascii="Arial" w:hAnsi="Arial" w:eastAsia="Arial" w:cs="Arial"/>
          <w:b/>
          <w:i w:val="0"/>
          <w:sz w:val="24"/>
        </w:rPr>
        <w:t>PART A - QUESTION 4</w:t>
      </w:r>
    </w:p>
    <w:p>
      <w:pPr>
        <w:spacing w:before="200" w:after="40"/>
      </w:pPr>
      <w:r>
        <w:rPr>
          <w:rFonts w:ascii="Arial" w:hAnsi="Arial" w:eastAsia="Arial" w:cs="Arial"/>
          <w:b/>
          <w:i w:val="0"/>
          <w:sz w:val="22"/>
        </w:rPr>
        <w:t>A4a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Chinese Wall model as a formal security model, covering the policy it implements and how its access rules behave over time.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Chinese Wall is a confidentiality access control policy (not an integrity policy) that addresses conflicts of interest.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21</w:t>
              <w:br/>
              <w:t>024 -​ Formal Security Model::​s21::​1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Access rights change dynamically because they depend on the subject's history of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24</w:t>
              <w:br/>
              <w:t>024 -​ Formal Security Model::​s24::​1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024 - Formal Security Model, slide 21; 024 - Formal Security Model, slide 24</w:t>
      </w:r>
    </w:p>
    <w:p>
      <w:pPr>
        <w:spacing w:before="0" w:after="80"/>
      </w:pPr>
      <w:r>
        <w:rPr>
          <w:rFonts w:ascii="Arial" w:hAnsi="Arial" w:eastAsia="Arial" w:cs="Arial"/>
          <w:b w:val="0"/>
          <w:i/>
          <w:sz w:val="18"/>
        </w:rPr>
        <w:t>Status: computed placeholder - no question generated for this type.</w:t>
      </w:r>
    </w:p>
    <w:p>
      <w:pPr>
        <w:spacing w:before="240" w:after="40"/>
      </w:pPr>
      <w:r>
        <w:rPr>
          <w:rFonts w:ascii="Arial" w:hAnsi="Arial" w:eastAsia="Arial" w:cs="Arial"/>
          <w:b/>
          <w:i w:val="0"/>
          <w:sz w:val="24"/>
        </w:rPr>
        <w:t>PART A - QUESTION 5</w:t>
      </w:r>
    </w:p>
    <w:p>
      <w:pPr>
        <w:spacing w:before="200" w:after="40"/>
      </w:pPr>
      <w:r>
        <w:rPr>
          <w:rFonts w:ascii="Arial" w:hAnsi="Arial" w:eastAsia="Arial" w:cs="Arial"/>
          <w:b/>
          <w:i w:val="0"/>
          <w:sz w:val="22"/>
        </w:rPr>
        <w:t>A5a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the difference between morals, ethics and laws as they apply to the conduct of a computing professional.</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Morals are described as traditions of belief concerning right and wrong conduct, forming the basis of social behaviour.</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Laws are formal rules of conduct imposed by a sovereign authority such as a government on its subjects or citizens.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5</w:t>
              <w:br/>
              <w:t>071 -​ Ethics and Computer Security::​s05::​1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071 - Ethics and Computer Security, slide 5</w:t>
      </w:r>
    </w:p>
    <w:p>
      <w:pPr>
        <w:spacing w:before="200" w:after="40"/>
      </w:pPr>
      <w:r>
        <w:rPr>
          <w:rFonts w:ascii="Arial" w:hAnsi="Arial" w:eastAsia="Arial" w:cs="Arial"/>
          <w:b/>
          <w:i w:val="0"/>
          <w:sz w:val="22"/>
        </w:rPr>
        <w:t>A5b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six professional conduct requirements that the ACM code places on a computing professional, covering both how they carry out their work and how they treat the public and the systems they build.</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professional must aim for high quality in the processes and products of their professional 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professional must keep up high standards of competence, conduct and ethical practice.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A professional must only perform work in areas where they are competent.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0.56</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professional must give thorough evaluations of computer systems and their impacts, including possible risks.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12</w:t>
              <w:br/>
              <w:t>071 -​ Ethics and Computer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A professional must contribute to society and human well-being, recognising that all people are stakeholders in computing.</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0.73</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A professional must respect privacy and honour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071 - Ethics and Computer Security, slide 11</w:t>
              <w:br/>
              <w:t>071 -​ Ethics and Computer Security::​s11::​1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071 - Ethics and Computer Security, slide 11; 071 - Ethics and Computer Security, slide 12</w:t>
      </w:r>
    </w:p>
    <w:p>
      <w:pPr>
        <w:spacing w:before="240" w:after="40"/>
      </w:pPr>
      <w:r>
        <w:rPr>
          <w:rFonts w:ascii="Arial" w:hAnsi="Arial" w:eastAsia="Arial" w:cs="Arial"/>
          <w:b/>
          <w:i w:val="0"/>
          <w:sz w:val="24"/>
        </w:rPr>
        <w:t>PART A - QUESTION 6</w:t>
      </w:r>
    </w:p>
    <w:p>
      <w:pPr>
        <w:spacing w:before="200" w:after="40"/>
      </w:pPr>
      <w:r>
        <w:rPr>
          <w:rFonts w:ascii="Arial" w:hAnsi="Arial" w:eastAsia="Arial" w:cs="Arial"/>
          <w:b/>
          <w:i w:val="0"/>
          <w:sz w:val="22"/>
        </w:rPr>
        <w:t>A6a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typical locations where IDS sensors are placed in a network-based IDS architecture.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sensor can be positioned just inside the firewall.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sensor can be positioned on the DMZ.</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062 - Intrusion Detection System, slide 7</w:t>
              <w:br/>
              <w:t>062 -​ Intrusion Detection System::​s07::​1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062 - Intrusion Detection System, slide 7</w:t>
      </w:r>
    </w:p>
    <w:p>
      <w:pPr>
        <w:spacing w:before="200" w:after="40"/>
      </w:pPr>
      <w:r>
        <w:rPr>
          <w:rFonts w:ascii="Arial" w:hAnsi="Arial" w:eastAsia="Arial" w:cs="Arial"/>
          <w:b/>
          <w:i w:val="0"/>
          <w:sz w:val="22"/>
        </w:rPr>
        <w:t>A6b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Describe six (6) preventive network security mechanisms and the protection each provides, as covered in the network security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firewall controls incoming and outgoing network traffic according to predetermined security policies.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proxy server improves data security and network performance by acting as a firewall and web filter, sharing connections and caching data.</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0.79</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Network segmentation creates boundaries between segments whose computing assets share a common function, risk or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3</w:t>
              <w:br/>
              <w:t>061 -​ Network Security::​s03::​1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 remote access VPN gives individual hosts or clients remote and secure access to an organization's network.</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0.89</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Zero Trust Network Access (ZTNA) restricts a user to only the access and permissions needed to fulfil the role.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Intrusion detection/prevention systems detect or prevent attacks such as brute force, denial-of-service and exploitation of network vulnerabilities.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061 - Network Security, slide 4</w:t>
              <w:br/>
              <w:t>061 -​ Network Security::​s04::​1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061 - Network Security, slide 3; 061 - Network Security, slide 4</w:t>
      </w:r>
    </w:p>
    <w:p>
      <w:pPr>
        <w:spacing w:before="240" w:after="40"/>
      </w:pPr>
      <w:r>
        <w:rPr>
          <w:rFonts w:ascii="Arial" w:hAnsi="Arial" w:eastAsia="Arial" w:cs="Arial"/>
          <w:b/>
          <w:i w:val="0"/>
          <w:sz w:val="24"/>
        </w:rPr>
        <w:t>PART A - QUESTION 7</w:t>
      </w:r>
    </w:p>
    <w:p>
      <w:pPr>
        <w:spacing w:before="200" w:after="40"/>
      </w:pPr>
      <w:r>
        <w:rPr>
          <w:rFonts w:ascii="Arial" w:hAnsi="Arial" w:eastAsia="Arial" w:cs="Arial"/>
          <w:b/>
          <w:i w:val="0"/>
          <w:sz w:val="22"/>
        </w:rPr>
        <w:t>A7a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TWO (2) points about software insecurity and buffer overflows as described in the Software Security lecture.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Software insecurity arises because attackers can alter resources that are critical for program execution, such as the instruction pointer or function call addresses.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30</w:t>
              <w:br/>
              <w:t>051 -​ Software Security::​s30::​1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0.65</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buffer overflow occurs when, lacking proper bound checking, buffer content spills into adjacent higher stack memory and lets an attacker overwrite the return address to hijack execution flow.</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21</w:t>
              <w:br/>
              <w:t>051 -​ Software Security::​s21::​1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0.35 LOW</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051 - Software Security, slide 21; 051 - Software Security, slide 30</w:t>
      </w:r>
    </w:p>
    <w:p>
      <w:pPr>
        <w:spacing w:before="200" w:after="40"/>
      </w:pPr>
      <w:r>
        <w:rPr>
          <w:rFonts w:ascii="Arial" w:hAnsi="Arial" w:eastAsia="Arial" w:cs="Arial"/>
          <w:b/>
          <w:i w:val="0"/>
          <w:sz w:val="22"/>
        </w:rPr>
        <w:t>A7b - 6 marks - PLACEHOLDER</w:t>
      </w:r>
    </w:p>
    <w:p>
      <w:pPr>
        <w:spacing w:before="0" w:after="20"/>
      </w:pPr>
      <w:r>
        <w:rPr>
          <w:rFonts w:ascii="Arial" w:hAnsi="Arial" w:eastAsia="Arial" w:cs="Arial"/>
          <w:b w:val="0"/>
          <w:i w:val="0"/>
          <w:sz w:val="19"/>
        </w:rPr>
        <w:t>Topic: software/OS security; command: Explain</w:t>
      </w:r>
    </w:p>
    <w:p>
      <w:pPr>
        <w:spacing w:before="0" w:after="20"/>
      </w:pPr>
      <w:r>
        <w:rPr>
          <w:rFonts w:ascii="Arial" w:hAnsi="Arial" w:eastAsia="Arial" w:cs="Arial"/>
          <w:b w:val="0"/>
          <w:i/>
          <w:sz w:val="18"/>
        </w:rPr>
        <w:t>Status: placeholder - no supported question passed verification.</w:t>
      </w:r>
    </w:p>
    <w:p>
      <w:pPr>
        <w:spacing w:before="0" w:after="120"/>
      </w:pPr>
      <w:r>
        <w:rPr>
          <w:rFonts w:ascii="Arial" w:hAnsi="Arial" w:eastAsia="Arial" w:cs="Arial"/>
          <w:b w:val="0"/>
          <w:i w:val="0"/>
          <w:sz w:val="17"/>
        </w:rPr>
        <w:t>Reason: A7b point 1: marking point is a verbatim copy of its quote; phrase the point as an answer requirement, not as copied slide text</w:t>
      </w:r>
    </w:p>
    <w:p>
      <w:pPr>
        <w:spacing w:before="240" w:after="40"/>
      </w:pPr>
      <w:r>
        <w:rPr>
          <w:rFonts w:ascii="Arial" w:hAnsi="Arial" w:eastAsia="Arial" w:cs="Arial"/>
          <w:b/>
          <w:i w:val="0"/>
          <w:sz w:val="24"/>
        </w:rPr>
        <w:t>PART A - QUESTION 8</w:t>
      </w:r>
    </w:p>
    <w:p>
      <w:pPr>
        <w:spacing w:before="200" w:after="40"/>
      </w:pPr>
      <w:r>
        <w:rPr>
          <w:rFonts w:ascii="Arial" w:hAnsi="Arial" w:eastAsia="Arial" w:cs="Arial"/>
          <w:b/>
          <w:i w:val="0"/>
          <w:sz w:val="22"/>
        </w:rPr>
        <w:t>A8a - 2 marks - PLACEHOLDER</w:t>
      </w:r>
    </w:p>
    <w:p>
      <w:pPr>
        <w:spacing w:before="0" w:after="20"/>
      </w:pPr>
      <w:r>
        <w:rPr>
          <w:rFonts w:ascii="Arial" w:hAnsi="Arial" w:eastAsia="Arial" w:cs="Arial"/>
          <w:b w:val="0"/>
          <w:i w:val="0"/>
          <w:sz w:val="19"/>
        </w:rPr>
        <w:t>Topic: access control models; command: State</w:t>
      </w:r>
    </w:p>
    <w:p>
      <w:pPr>
        <w:spacing w:before="0" w:after="20"/>
      </w:pPr>
      <w:r>
        <w:rPr>
          <w:rFonts w:ascii="Arial" w:hAnsi="Arial" w:eastAsia="Arial" w:cs="Arial"/>
          <w:b w:val="0"/>
          <w:i/>
          <w:sz w:val="18"/>
        </w:rPr>
        <w:t>Status: placeholder - no supported question passed verification.</w:t>
      </w:r>
    </w:p>
    <w:p>
      <w:pPr>
        <w:spacing w:before="0" w:after="120"/>
      </w:pPr>
      <w:r>
        <w:rPr>
          <w:rFonts w:ascii="Arial" w:hAnsi="Arial" w:eastAsia="Arial" w:cs="Arial"/>
          <w:b w:val="0"/>
          <w:i w:val="0"/>
          <w:sz w:val="17"/>
        </w:rPr>
        <w:t>Reason: A8a: sub-angle not followed; use one of ['acl', 'acm', 'capability', 'access control list', 'matrix']</w:t>
      </w:r>
    </w:p>
    <w:p>
      <w:pPr>
        <w:spacing w:before="200" w:after="40"/>
      </w:pPr>
      <w:r>
        <w:rPr>
          <w:rFonts w:ascii="Arial" w:hAnsi="Arial" w:eastAsia="Arial" w:cs="Arial"/>
          <w:b/>
          <w:i w:val="0"/>
          <w:sz w:val="22"/>
        </w:rPr>
        <w:t>A8b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Discuss the goals of access control and the role of the reference monitor in authorization, and explain how the Chinese Wall model's simple security rule and *-property constrain access over time. Provide six distinct points.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State that access control aims to grant, limit, prevent, and revoke access.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0.86</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Explain that the reference monitor is the component that makes authorization decisions.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4</w:t>
              <w:br/>
              <w:t>023 -​ Access Control and Authorization::​s04::​1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Note that reference monitors realize access control policies and can be deployed at all levels of the system hierarchy.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023 - Access Control and Authorization, slide 18</w:t>
              <w:br/>
              <w:t>023 -​ Access Control and Authorization::​s18::​1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0.92</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Describe the Chinese Wall simple security rule: access is granted only if the object is within the same company dataset already accessed or in a different conflict of interest class.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25</w:t>
              <w:br/>
              <w:t>024 -​ Formal Security Model::​s25::​1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Explain the Chinese Wall *-property: write access requires simple-rule permission and no read access to unsanitized information in a different company dataset.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26</w:t>
              <w:br/>
              <w:t>024 -​ Formal Security Model::​s26::​1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State that the Chinese Wall is an access control policy whose accesses depend on the history of past accesses.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024 - Formal Security Model, slide 27</w:t>
              <w:br/>
              <w:t>024 -​ Formal Security Model::​s27::​1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023 - Access Control and Authorization, slide 18; 023 - Access Control and Authorization, slide 4; 024 - Formal Security Model, slide 25; 024 - Formal Security Model, slide 26; 024 - Formal Security Model, slide 27</w:t>
      </w:r>
    </w:p>
    <w:p>
      <w:pPr>
        <w:spacing w:before="240" w:after="40"/>
      </w:pPr>
      <w:r>
        <w:rPr>
          <w:rFonts w:ascii="Arial" w:hAnsi="Arial" w:eastAsia="Arial" w:cs="Arial"/>
          <w:b/>
          <w:i w:val="0"/>
          <w:sz w:val="24"/>
        </w:rPr>
        <w:t>PART A - QUESTION 9</w:t>
      </w:r>
    </w:p>
    <w:p>
      <w:pPr>
        <w:spacing w:before="200" w:after="40"/>
      </w:pPr>
      <w:r>
        <w:rPr>
          <w:rFonts w:ascii="Arial" w:hAnsi="Arial" w:eastAsia="Arial" w:cs="Arial"/>
          <w:b/>
          <w:i w:val="0"/>
          <w:sz w:val="22"/>
        </w:rPr>
        <w:t>A9a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password security controls that can be applied to password files and accounts to strengthen authentication.</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Access control should be applied to the password files themselves.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Accounts should be de-activated after multiple failed login attempts.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12</w:t>
              <w:br/>
              <w:t>022 -​ Identification and Authentication::​s12::​1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12</w:t>
      </w:r>
    </w:p>
    <w:p>
      <w:pPr>
        <w:spacing w:before="200" w:after="40"/>
      </w:pPr>
      <w:r>
        <w:rPr>
          <w:rFonts w:ascii="Arial" w:hAnsi="Arial" w:eastAsia="Arial" w:cs="Arial"/>
          <w:b/>
          <w:i w:val="0"/>
          <w:sz w:val="22"/>
        </w:rPr>
        <w:t>A9b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how single sign-on and Kerberos-based authentication mechanisms reduce the burden of password management for users in a large distributed environment, and describe the role of smart cards as an alternative authentication mechanism.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Single sign-on reduces the need for users to memorize multiple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Single sign-on reduces the time users spend typing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Single sign-on lowers the effort required to maintain passwords.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0.29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Kerberos is a client-server architecture that provides single sign-on.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16</w:t>
              <w:br/>
              <w:t>022 -​ Identification and Authentication::​s16::​1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In Kerberos login, the user enters a user name and password at the client workstation.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hash of the user's password becomes the secret key of the client.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022 - Identification and Authentication, slide 19</w:t>
              <w:br/>
              <w:t>022 -​ Identification and Authentication::​s19::​1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1.00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022 - Identification and Authentication, slide 16; 022 - Identification and Authentication, slide 19</w:t>
      </w:r>
    </w:p>
    <w:p>
      <w:pPr>
        <w:spacing w:before="240" w:after="40"/>
      </w:pPr>
      <w:r>
        <w:rPr>
          <w:rFonts w:ascii="Arial" w:hAnsi="Arial" w:eastAsia="Arial" w:cs="Arial"/>
          <w:b/>
          <w:i w:val="0"/>
          <w:sz w:val="24"/>
        </w:rPr>
        <w:t>PART A - QUESTION 10</w:t>
      </w:r>
    </w:p>
    <w:p>
      <w:pPr>
        <w:spacing w:before="200" w:after="40"/>
      </w:pPr>
      <w:r>
        <w:rPr>
          <w:rFonts w:ascii="Arial" w:hAnsi="Arial" w:eastAsia="Arial" w:cs="Arial"/>
          <w:b/>
          <w:i w:val="0"/>
          <w:sz w:val="22"/>
        </w:rPr>
        <w:t>A10a - 2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two characteristics of Trojan horses as a type of malware, including how they present themselves and what harm they cause once active.</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Trojan horses disguise themselves as useful or benign programs so users install them unsuspectingly.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0.10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Once running, a Trojan steals private data, deletes files, logs keystrokes, or opens a way for additional malware.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12</w:t>
              <w:br/>
              <w:t>051 -​ Software Security::​s12::​1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0.64</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12</w:t>
      </w:r>
    </w:p>
    <w:p>
      <w:pPr>
        <w:spacing w:before="200" w:after="40"/>
      </w:pPr>
      <w:r>
        <w:rPr>
          <w:rFonts w:ascii="Arial" w:hAnsi="Arial" w:eastAsia="Arial" w:cs="Arial"/>
          <w:b/>
          <w:i w:val="0"/>
          <w:sz w:val="22"/>
        </w:rPr>
        <w:t>A10b - 6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six techniques by which malware such as viruses and worms propagate themselves or attach their code to a host program, and describe how early malware demonstrated these propagation methods.</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A virus can propagate by appending its body to a host program and saving the original entry point inside the virus body.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0.58</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A virus can replace the program entry point with a jump to the virus body, and the virus code later restores the original entry point and jumps to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9</w:t>
              <w:br/>
              <w:t>051 -​ Software Security::​s09::​1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For EXE files, a virus can overwrite the program header so that the entry point switches to the virus, and then jump to the original entry point during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10</w:t>
              <w:br/>
              <w:t>051 -​ Software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0.67</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Morris worm propagated across the Arpanet by exploiting a debugging feature of sendmail that allowed remote execution.</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0.55</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Elk Cloner spread through boot sector infection and hooked the reset handler so that a poem was played on every fiftieth reset.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6</w:t>
            </w:r>
          </w:p>
        </w:tc>
        <w:tc>
          <w:tcPr>
            <w:tcW w:type="dxa" w:w="2793"/>
          </w:tcPr>
          <w:p>
            <w:pPr>
              <w:spacing w:after="0"/>
            </w:pPr>
            <w:r>
              <w:rPr>
                <w:sz w:val="16"/>
              </w:rPr>
            </w:r>
            <w:r>
              <w:rPr>
                <w:rFonts w:ascii="Arial" w:hAnsi="Arial" w:eastAsia="Arial" w:cs="Arial"/>
                <w:b w:val="0"/>
                <w:i w:val="0"/>
                <w:sz w:val="16"/>
              </w:rPr>
              <w:t>The Brain virus was included in the boot sector of distributed software diskettes, which is how it spread in the wild.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7</w:t>
              <w:br/>
              <w:t>051 -​ Software Security::​s07::​1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120"/>
      </w:pPr>
      <w:r>
        <w:rPr>
          <w:rFonts w:ascii="Arial" w:hAnsi="Arial" w:eastAsia="Arial" w:cs="Arial"/>
          <w:b w:val="0"/>
          <w:i/>
          <w:sz w:val="18"/>
        </w:rPr>
        <w:t>Citations: 051 - Software Security, slide 10; 051 - Software Security, slide 7; 051 - Software Security, slide 9</w:t>
      </w:r>
    </w:p>
    <w:p>
      <w:pPr>
        <w:spacing w:before="240" w:after="40"/>
      </w:pPr>
      <w:r>
        <w:rPr>
          <w:rFonts w:ascii="Arial" w:hAnsi="Arial" w:eastAsia="Arial" w:cs="Arial"/>
          <w:b/>
          <w:i w:val="0"/>
          <w:sz w:val="24"/>
        </w:rPr>
        <w:t>PART B - QUESTION 1</w:t>
      </w:r>
    </w:p>
    <w:p>
      <w:pPr>
        <w:spacing w:before="200" w:after="40"/>
      </w:pPr>
      <w:r>
        <w:rPr>
          <w:rFonts w:ascii="Arial" w:hAnsi="Arial" w:eastAsia="Arial" w:cs="Arial"/>
          <w:b/>
          <w:i w:val="0"/>
          <w:sz w:val="22"/>
        </w:rPr>
        <w:t>B1a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Explain five ways in which threat classes and malware can impact the confidentiality, integrity and availability of an information system, giving a distinct impact for each.</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Disclosure threats such as snooping, sniffing and wiretapping give unauthorised access to information, harming confidentiality.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0.27 LOW</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Deception threats involve acceptance of false data, which damages integrity.</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Usurpation threats give unauthorised control of part of a system and are countered by availability services.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011 - Introduction to Computer Security, slide 10</w:t>
              <w:br/>
              <w:t>011 -​ Introduction to Computer Security::​s10::​1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0.44 LOW</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Spyware steals user logins and passwords, so sensitive bank information can be compromised.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partly 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Rootkits hide malicious processes and software so that the infected computer stays under the malware author's control.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051 - Software Security, slide 13</w:t>
              <w:br/>
              <w:t>051 -​ Software Security::​s13::​1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011 - Introduction to Computer Security, slide 10; 051 - Software Security, slide 13</w:t>
      </w:r>
    </w:p>
    <w:p>
      <w:pPr>
        <w:spacing w:before="200" w:after="40"/>
      </w:pPr>
      <w:r>
        <w:rPr>
          <w:rFonts w:ascii="Arial" w:hAnsi="Arial" w:eastAsia="Arial" w:cs="Arial"/>
          <w:b/>
          <w:i w:val="0"/>
          <w:sz w:val="22"/>
        </w:rPr>
        <w:t>B1b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The Samy worm spread through MySpace by exploiting a cross-site scripting flaw. Explain five aspects of this case: how the malicious script was injected, how the worm gathered and added friends, how infection spread to visitors, how the script reached the browser, and the eventual scale of the outbreak.</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worm injected JavaScript into a user profile by writing to document.body.innerHTML.</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It obtained the list of the user's heroes by issuing a GET request on a user profile.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0.43 LOW</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It added Samy as a friend by performing an XML-HTTP request on the addFriends page.</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Any user visiting an infected user's page had their own profile and friends list infected with the JavaScript.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0.70</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outbreak eventually infected about 1,000,000 MySpace profiles.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052 - Web Security, slide 15</w:t>
              <w:br/>
              <w:t>052 -​ Web Security::​s15::​1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052 - Web Security, slide 15</w:t>
      </w:r>
    </w:p>
    <w:p>
      <w:pPr>
        <w:spacing w:before="240" w:after="40"/>
      </w:pPr>
      <w:r>
        <w:rPr>
          <w:rFonts w:ascii="Arial" w:hAnsi="Arial" w:eastAsia="Arial" w:cs="Arial"/>
          <w:b/>
          <w:i w:val="0"/>
          <w:sz w:val="24"/>
        </w:rPr>
        <w:t>PART B - QUESTION 2</w:t>
      </w:r>
    </w:p>
    <w:p>
      <w:pPr>
        <w:spacing w:before="200" w:after="40"/>
      </w:pPr>
      <w:r>
        <w:rPr>
          <w:rFonts w:ascii="Arial" w:hAnsi="Arial" w:eastAsia="Arial" w:cs="Arial"/>
          <w:b/>
          <w:i w:val="0"/>
          <w:sz w:val="22"/>
        </w:rPr>
        <w:t>B2a - 5 marks - supported by lecture slides (not lecturer-marked)</w:t>
      </w:r>
    </w:p>
    <w:p>
      <w:pPr>
        <w:spacing w:before="20" w:after="20"/>
      </w:pPr>
      <w:r>
        <w:rPr>
          <w:rFonts w:ascii="Arial" w:hAnsi="Arial" w:eastAsia="Arial" w:cs="Arial"/>
          <w:b/>
          <w:i w:val="0"/>
          <w:sz w:val="19"/>
        </w:rPr>
        <w:t>Scenario:</w:t>
      </w:r>
    </w:p>
    <w:p>
      <w:pPr>
        <w:spacing w:before="0" w:after="60"/>
        <w:ind w:left="227"/>
      </w:pPr>
      <w:r>
        <w:rPr>
          <w:rFonts w:ascii="Arial" w:hAnsi="Arial" w:eastAsia="Arial" w:cs="Arial"/>
          <w:b w:val="0"/>
          <w:i/>
          <w:sz w:val="18"/>
        </w:rPr>
        <w:t>A hospital wants every workstation to prove at boot that it is running only approved software before it is allowed to access patient records. The IT team is told to base the design on the Trusted Platform Module and a chain of trust, and to explain the components involved.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State the role of the Trusted Platform Module in a trusted platform, and explain how a chain of trust is built from the hardware up to the running software, naming the stages involved and the roots of trust that support it.</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The TPM is described as tamper-resistant hardware fitted into the platform.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6</w:t>
              <w:br/>
              <w:t>073 -​ Trusted Computing::​s06::​1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0.57</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The TPM's duties are listed as measurement, protected storage, integrity reporting and policy enforcement.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6</w:t>
              <w:br/>
              <w:t>073 -​ Trusted Computing::​s06::​1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0.78</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In the chain of trust, each stage measures and validates the stage that follows it.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measurements taken are recorded in the TPM's Platform Configuration Registers.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0.71</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chain begins at the hardware TPM and proceeds through the RTM, TPM software stack, BIOS and kernel, ending with the whole platform verified as trusted.</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8</w:t>
              <w:br/>
              <w:t>073 -​ Trusted Computing::​s08::​1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0.50</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6; 073 - Trusted Computing, slide 8</w:t>
      </w:r>
    </w:p>
    <w:p>
      <w:pPr>
        <w:spacing w:before="200" w:after="40"/>
      </w:pPr>
      <w:r>
        <w:rPr>
          <w:rFonts w:ascii="Arial" w:hAnsi="Arial" w:eastAsia="Arial" w:cs="Arial"/>
          <w:b/>
          <w:i w:val="0"/>
          <w:sz w:val="22"/>
        </w:rPr>
        <w:t>B2b - 5 marks - supported by lecture slides (not lecturer-marked)</w:t>
      </w:r>
    </w:p>
    <w:p>
      <w:pPr>
        <w:spacing w:before="40" w:after="20"/>
      </w:pPr>
      <w:r>
        <w:rPr>
          <w:rFonts w:ascii="Arial" w:hAnsi="Arial" w:eastAsia="Arial" w:cs="Arial"/>
          <w:b/>
          <w:i w:val="0"/>
          <w:sz w:val="20"/>
        </w:rPr>
        <w:t>Question:</w:t>
      </w:r>
    </w:p>
    <w:p>
      <w:pPr>
        <w:spacing w:before="0" w:after="40"/>
        <w:ind w:left="227"/>
      </w:pPr>
      <w:r>
        <w:rPr>
          <w:rFonts w:ascii="Arial" w:hAnsi="Arial" w:eastAsia="Arial" w:cs="Arial"/>
          <w:b w:val="0"/>
          <w:i/>
          <w:sz w:val="19"/>
        </w:rPr>
        <w:t>Referring to the scenario, discuss the NGSCB/Nexus components that the IT team could use to enforce the approved-software requirement, covering the role of Nexus, the role of the Nexus Computing Agent, and how these components relate to the TPM.</w:t>
      </w:r>
    </w:p>
    <w:p>
      <w:pPr>
        <w:spacing w:before="60" w:after="40"/>
      </w:pPr>
      <w:r>
        <w:rPr>
          <w:rFonts w:ascii="Arial" w:hAnsi="Arial" w:eastAsia="Arial" w:cs="Arial"/>
          <w:b/>
          <w:i w:val="0"/>
          <w:sz w:val="20"/>
        </w:rPr>
        <w:t>Marking points:</w:t>
      </w:r>
    </w:p>
    <w:tbl>
      <w:tblPr>
        <w:tblLook w:firstColumn="1" w:firstRow="1" w:lastColumn="0" w:lastRow="0" w:noHBand="0" w:noVBand="1" w:val="04A0"/>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W w:type="dxa" w:w="9310"/>
        <w:tblInd w:type="dxa" w:w="0"/>
        <w:tblLayout w:type="fixed"/>
        <w:tblCellMar>
          <w:top w:w="0" w:type="dxa"/>
          <w:left w:w="60" w:type="dxa"/>
          <w:bottom w:w="0" w:type="dxa"/>
          <w:right w:w="60" w:type="dxa"/>
        </w:tblCellMar>
      </w:tblPr>
      <w:tblGrid>
        <w:gridCol w:w="559"/>
        <w:gridCol w:w="2793"/>
        <w:gridCol w:w="2514"/>
        <w:gridCol w:w="1490"/>
        <w:gridCol w:w="1117"/>
        <w:gridCol w:w="837"/>
      </w:tblGrid>
      <w:tr>
        <w:trPr>
          <w:cantSplit/>
          <w:tblHeader/>
        </w:trPr>
        <w:tc>
          <w:tcPr>
            <w:tcW w:type="dxa" w:w="559"/>
          </w:tcPr>
          <w:p>
            <w:pPr>
              <w:spacing w:after="0"/>
            </w:pPr>
            <w:r>
              <w:rPr>
                <w:sz w:val="16"/>
              </w:rPr>
            </w:r>
            <w:r>
              <w:rPr>
                <w:rFonts w:ascii="Arial" w:hAnsi="Arial" w:eastAsia="Arial" w:cs="Arial"/>
                <w:b/>
                <w:i w:val="0"/>
                <w:sz w:val="16"/>
              </w:rPr>
              <w:t>No.</w:t>
            </w:r>
          </w:p>
        </w:tc>
        <w:tc>
          <w:tcPr>
            <w:tcW w:type="dxa" w:w="2793"/>
          </w:tcPr>
          <w:p>
            <w:pPr>
              <w:spacing w:after="0"/>
            </w:pPr>
            <w:r>
              <w:rPr>
                <w:sz w:val="16"/>
              </w:rPr>
            </w:r>
            <w:r>
              <w:rPr>
                <w:rFonts w:ascii="Arial" w:hAnsi="Arial" w:eastAsia="Arial" w:cs="Arial"/>
                <w:b/>
                <w:i w:val="0"/>
                <w:sz w:val="16"/>
              </w:rPr>
              <w:t>Point (1 mark)</w:t>
            </w:r>
          </w:p>
        </w:tc>
        <w:tc>
          <w:tcPr>
            <w:tcW w:type="dxa" w:w="2514"/>
          </w:tcPr>
          <w:p>
            <w:pPr>
              <w:spacing w:after="0"/>
            </w:pPr>
            <w:r>
              <w:rPr>
                <w:sz w:val="16"/>
              </w:rPr>
            </w:r>
            <w:r>
              <w:rPr>
                <w:rFonts w:ascii="Arial" w:hAnsi="Arial" w:eastAsia="Arial" w:cs="Arial"/>
                <w:b/>
                <w:i w:val="0"/>
                <w:sz w:val="16"/>
              </w:rPr>
              <w:t>Evidence quote</w:t>
            </w:r>
          </w:p>
        </w:tc>
        <w:tc>
          <w:tcPr>
            <w:tcW w:type="dxa" w:w="1490"/>
          </w:tcPr>
          <w:p>
            <w:pPr>
              <w:spacing w:after="0"/>
            </w:pPr>
            <w:r>
              <w:rPr>
                <w:sz w:val="16"/>
              </w:rPr>
            </w:r>
            <w:r>
              <w:rPr>
                <w:rFonts w:ascii="Arial" w:hAnsi="Arial" w:eastAsia="Arial" w:cs="Arial"/>
                <w:b/>
                <w:i w:val="0"/>
                <w:sz w:val="16"/>
              </w:rPr>
              <w:t>Source</w:t>
            </w:r>
          </w:p>
        </w:tc>
        <w:tc>
          <w:tcPr>
            <w:tcW w:type="dxa" w:w="1117"/>
          </w:tcPr>
          <w:p>
            <w:pPr>
              <w:spacing w:after="0"/>
            </w:pPr>
            <w:r>
              <w:rPr>
                <w:sz w:val="16"/>
              </w:rPr>
            </w:r>
            <w:r>
              <w:rPr>
                <w:rFonts w:ascii="Arial" w:hAnsi="Arial" w:eastAsia="Arial" w:cs="Arial"/>
                <w:b/>
                <w:i w:val="0"/>
                <w:sz w:val="16"/>
              </w:rPr>
              <w:t>Verdict</w:t>
            </w:r>
          </w:p>
        </w:tc>
        <w:tc>
          <w:tcPr>
            <w:tcW w:type="dxa" w:w="837"/>
          </w:tcPr>
          <w:p>
            <w:pPr>
              <w:spacing w:after="0"/>
            </w:pPr>
            <w:r>
              <w:rPr>
                <w:sz w:val="16"/>
              </w:rPr>
            </w:r>
            <w:r>
              <w:rPr>
                <w:rFonts w:ascii="Arial" w:hAnsi="Arial" w:eastAsia="Arial" w:cs="Arial"/>
                <w:b/>
                <w:i w:val="0"/>
                <w:sz w:val="16"/>
              </w:rPr>
              <w:t>Overlap</w:t>
            </w:r>
          </w:p>
        </w:tc>
      </w:tr>
      <w:tr>
        <w:trPr>
          <w:cantSplit/>
        </w:trPr>
        <w:tc>
          <w:tcPr>
            <w:tcW w:type="dxa" w:w="559"/>
          </w:tcPr>
          <w:p>
            <w:pPr>
              <w:spacing w:after="0"/>
            </w:pPr>
            <w:r>
              <w:rPr>
                <w:sz w:val="16"/>
              </w:rPr>
            </w:r>
            <w:r>
              <w:rPr>
                <w:rFonts w:ascii="Arial" w:hAnsi="Arial" w:eastAsia="Arial" w:cs="Arial"/>
                <w:b w:val="0"/>
                <w:i w:val="0"/>
                <w:sz w:val="16"/>
              </w:rPr>
              <w:t>1</w:t>
            </w:r>
          </w:p>
        </w:tc>
        <w:tc>
          <w:tcPr>
            <w:tcW w:type="dxa" w:w="2793"/>
          </w:tcPr>
          <w:p>
            <w:pPr>
              <w:spacing w:after="0"/>
            </w:pPr>
            <w:r>
              <w:rPr>
                <w:sz w:val="16"/>
              </w:rPr>
            </w:r>
            <w:r>
              <w:rPr>
                <w:rFonts w:ascii="Arial" w:hAnsi="Arial" w:eastAsia="Arial" w:cs="Arial"/>
                <w:b w:val="0"/>
                <w:i w:val="0"/>
                <w:sz w:val="16"/>
              </w:rPr>
              <w:t>Nexus is described as a security kernel that is authenticated on boot.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0.80</w:t>
            </w:r>
          </w:p>
        </w:tc>
      </w:tr>
      <w:tr>
        <w:trPr>
          <w:cantSplit/>
        </w:trPr>
        <w:tc>
          <w:tcPr>
            <w:tcW w:type="dxa" w:w="559"/>
          </w:tcPr>
          <w:p>
            <w:pPr>
              <w:spacing w:after="0"/>
            </w:pPr>
            <w:r>
              <w:rPr>
                <w:sz w:val="16"/>
              </w:rPr>
            </w:r>
            <w:r>
              <w:rPr>
                <w:rFonts w:ascii="Arial" w:hAnsi="Arial" w:eastAsia="Arial" w:cs="Arial"/>
                <w:b w:val="0"/>
                <w:i w:val="0"/>
                <w:sz w:val="16"/>
              </w:rPr>
              <w:t>2</w:t>
            </w:r>
          </w:p>
        </w:tc>
        <w:tc>
          <w:tcPr>
            <w:tcW w:type="dxa" w:w="2793"/>
          </w:tcPr>
          <w:p>
            <w:pPr>
              <w:spacing w:after="0"/>
            </w:pPr>
            <w:r>
              <w:rPr>
                <w:sz w:val="16"/>
              </w:rPr>
            </w:r>
            <w:r>
              <w:rPr>
                <w:rFonts w:ascii="Arial" w:hAnsi="Arial" w:eastAsia="Arial" w:cs="Arial"/>
                <w:b w:val="0"/>
                <w:i w:val="0"/>
                <w:sz w:val="16"/>
              </w:rPr>
              <w:t>Nexus authenticates trusted programs.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0.75</w:t>
            </w:r>
          </w:p>
        </w:tc>
      </w:tr>
      <w:tr>
        <w:trPr>
          <w:cantSplit/>
        </w:trPr>
        <w:tc>
          <w:tcPr>
            <w:tcW w:type="dxa" w:w="559"/>
          </w:tcPr>
          <w:p>
            <w:pPr>
              <w:spacing w:after="0"/>
            </w:pPr>
            <w:r>
              <w:rPr>
                <w:sz w:val="16"/>
              </w:rPr>
            </w:r>
            <w:r>
              <w:rPr>
                <w:rFonts w:ascii="Arial" w:hAnsi="Arial" w:eastAsia="Arial" w:cs="Arial"/>
                <w:b w:val="0"/>
                <w:i w:val="0"/>
                <w:sz w:val="16"/>
              </w:rPr>
              <w:t>3</w:t>
            </w:r>
          </w:p>
        </w:tc>
        <w:tc>
          <w:tcPr>
            <w:tcW w:type="dxa" w:w="2793"/>
          </w:tcPr>
          <w:p>
            <w:pPr>
              <w:spacing w:after="0"/>
            </w:pPr>
            <w:r>
              <w:rPr>
                <w:sz w:val="16"/>
              </w:rPr>
            </w:r>
            <w:r>
              <w:rPr>
                <w:rFonts w:ascii="Arial" w:hAnsi="Arial" w:eastAsia="Arial" w:cs="Arial"/>
                <w:b w:val="0"/>
                <w:i w:val="0"/>
                <w:sz w:val="16"/>
              </w:rPr>
              <w:t>Nexus provides the application interface to the TPM.</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14</w:t>
              <w:br/>
              <w:t>073 -​ Trusted Computing::​s14::​1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0.60</w:t>
            </w:r>
          </w:p>
        </w:tc>
      </w:tr>
      <w:tr>
        <w:trPr>
          <w:cantSplit/>
        </w:trPr>
        <w:tc>
          <w:tcPr>
            <w:tcW w:type="dxa" w:w="559"/>
          </w:tcPr>
          <w:p>
            <w:pPr>
              <w:spacing w:after="0"/>
            </w:pPr>
            <w:r>
              <w:rPr>
                <w:sz w:val="16"/>
              </w:rPr>
            </w:r>
            <w:r>
              <w:rPr>
                <w:rFonts w:ascii="Arial" w:hAnsi="Arial" w:eastAsia="Arial" w:cs="Arial"/>
                <w:b w:val="0"/>
                <w:i w:val="0"/>
                <w:sz w:val="16"/>
              </w:rPr>
              <w:t>4</w:t>
            </w:r>
          </w:p>
        </w:tc>
        <w:tc>
          <w:tcPr>
            <w:tcW w:type="dxa" w:w="2793"/>
          </w:tcPr>
          <w:p>
            <w:pPr>
              <w:spacing w:after="0"/>
            </w:pPr>
            <w:r>
              <w:rPr>
                <w:sz w:val="16"/>
              </w:rPr>
            </w:r>
            <w:r>
              <w:rPr>
                <w:rFonts w:ascii="Arial" w:hAnsi="Arial" w:eastAsia="Arial" w:cs="Arial"/>
                <w:b w:val="0"/>
                <w:i w:val="0"/>
                <w:sz w:val="16"/>
              </w:rPr>
              <w:t>The Nexus Computing Agent is a trusted software component.</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w:t>
            </w:r>
          </w:p>
        </w:tc>
        <w:tc>
          <w:tcPr>
            <w:tcW w:type="dxa" w:w="837"/>
          </w:tcPr>
          <w:p>
            <w:pPr>
              <w:spacing w:after="0"/>
            </w:pPr>
            <w:r>
              <w:rPr>
                <w:sz w:val="16"/>
              </w:rPr>
            </w:r>
            <w:r>
              <w:rPr>
                <w:rFonts w:ascii="Arial" w:hAnsi="Arial" w:eastAsia="Arial" w:cs="Arial"/>
                <w:b w:val="0"/>
                <w:i w:val="0"/>
                <w:sz w:val="16"/>
              </w:rPr>
              <w:t>0.40 LOW</w:t>
            </w:r>
          </w:p>
        </w:tc>
      </w:tr>
      <w:tr>
        <w:trPr>
          <w:cantSplit/>
        </w:trPr>
        <w:tc>
          <w:tcPr>
            <w:tcW w:type="dxa" w:w="559"/>
          </w:tcPr>
          <w:p>
            <w:pPr>
              <w:spacing w:after="0"/>
            </w:pPr>
            <w:r>
              <w:rPr>
                <w:sz w:val="16"/>
              </w:rPr>
            </w:r>
            <w:r>
              <w:rPr>
                <w:rFonts w:ascii="Arial" w:hAnsi="Arial" w:eastAsia="Arial" w:cs="Arial"/>
                <w:b w:val="0"/>
                <w:i w:val="0"/>
                <w:sz w:val="16"/>
              </w:rPr>
              <w:t>5</w:t>
            </w:r>
          </w:p>
        </w:tc>
        <w:tc>
          <w:tcPr>
            <w:tcW w:type="dxa" w:w="2793"/>
          </w:tcPr>
          <w:p>
            <w:pPr>
              <w:spacing w:after="0"/>
            </w:pPr>
            <w:r>
              <w:rPr>
                <w:sz w:val="16"/>
              </w:rPr>
            </w:r>
            <w:r>
              <w:rPr>
                <w:rFonts w:ascii="Arial" w:hAnsi="Arial" w:eastAsia="Arial" w:cs="Arial"/>
                <w:b w:val="0"/>
                <w:i w:val="0"/>
                <w:sz w:val="16"/>
              </w:rPr>
              <w:t>The NCA runs in a trusted mode that communicates with Nexus.</w:t>
            </w:r>
          </w:p>
        </w:tc>
        <w:tc>
          <w:tcPr>
            <w:tcW w:type="dxa" w:w="2514"/>
          </w:tcPr>
          <w:p>
            <w:pPr>
              <w:spacing w:after="0"/>
            </w:pPr>
            <w:r>
              <w:rPr>
                <w:sz w:val="16"/>
              </w:rPr>
            </w:r>
            <w:r>
              <w:rPr>
                <w:rFonts w:ascii="Arial" w:hAnsi="Arial" w:eastAsia="Arial" w:cs="Arial"/>
                <w:b w:val="0"/>
                <w:i w:val="0"/>
                <w:sz w:val="16"/>
              </w:rPr>
              <w:t>[verbatim slide quote omitted in public build]</w:t>
            </w:r>
          </w:p>
        </w:tc>
        <w:tc>
          <w:tcPr>
            <w:tcW w:type="dxa" w:w="1490"/>
          </w:tcPr>
          <w:p>
            <w:pPr>
              <w:spacing w:after="0"/>
            </w:pPr>
            <w:r>
              <w:rPr>
                <w:sz w:val="16"/>
              </w:rPr>
            </w:r>
            <w:r>
              <w:rPr>
                <w:rFonts w:ascii="Arial" w:hAnsi="Arial" w:eastAsia="Arial" w:cs="Arial"/>
                <w:b w:val="0"/>
                <w:i w:val="0"/>
                <w:sz w:val="16"/>
              </w:rPr>
              <w:t>073 - Trusted Computing, slide 15</w:t>
              <w:br/>
              <w:t>073 -​ Trusted Computing::​s15::​1</w:t>
            </w:r>
          </w:p>
        </w:tc>
        <w:tc>
          <w:tcPr>
            <w:tcW w:type="dxa" w:w="1117"/>
          </w:tcPr>
          <w:p>
            <w:pPr>
              <w:spacing w:after="0"/>
            </w:pPr>
            <w:r>
              <w:rPr>
                <w:sz w:val="16"/>
              </w:rPr>
            </w:r>
            <w:r>
              <w:rPr>
                <w:rFonts w:ascii="Arial" w:hAnsi="Arial" w:eastAsia="Arial" w:cs="Arial"/>
                <w:b w:val="0"/>
                <w:i w:val="0"/>
                <w:sz w:val="16"/>
              </w:rPr>
              <w:t>supported (stem gate)</w:t>
            </w:r>
          </w:p>
        </w:tc>
        <w:tc>
          <w:tcPr>
            <w:tcW w:type="dxa" w:w="837"/>
          </w:tcPr>
          <w:p>
            <w:pPr>
              <w:spacing w:after="0"/>
            </w:pPr>
            <w:r>
              <w:rPr>
                <w:sz w:val="16"/>
              </w:rPr>
            </w:r>
            <w:r>
              <w:rPr>
                <w:rFonts w:ascii="Arial" w:hAnsi="Arial" w:eastAsia="Arial" w:cs="Arial"/>
                <w:b w:val="0"/>
                <w:i w:val="0"/>
                <w:sz w:val="16"/>
              </w:rPr>
              <w:t>0.83</w:t>
            </w:r>
          </w:p>
        </w:tc>
      </w:tr>
    </w:tbl>
    <w:p>
      <w:pPr>
        <w:spacing w:after="40"/>
      </w:pPr>
    </w:p>
    <w:p>
      <w:pPr>
        <w:spacing w:before="40" w:after="20"/>
      </w:pPr>
      <w:r>
        <w:rPr>
          <w:rFonts w:ascii="Arial" w:hAnsi="Arial" w:eastAsia="Arial" w:cs="Arial"/>
          <w:b w:val="0"/>
          <w:i/>
          <w:sz w:val="18"/>
        </w:rPr>
        <w:t>Confidence: supported by lecture slides (not lecturer-marked) - source citation retained; verbatim quote omitted in the public build.</w:t>
      </w:r>
    </w:p>
    <w:p>
      <w:pPr>
        <w:spacing w:before="0" w:after="20"/>
      </w:pPr>
      <w:r>
        <w:rPr>
          <w:rFonts w:ascii="Arial" w:hAnsi="Arial" w:eastAsia="Arial" w:cs="Arial"/>
          <w:b w:val="0"/>
          <w:i/>
          <w:sz w:val="18"/>
        </w:rPr>
        <w:t>Style confidence: LOW - exact examples n&lt;3; widened via topic+marks (any command).</w:t>
      </w:r>
    </w:p>
    <w:p>
      <w:pPr>
        <w:spacing w:before="0" w:after="120"/>
      </w:pPr>
      <w:r>
        <w:rPr>
          <w:rFonts w:ascii="Arial" w:hAnsi="Arial" w:eastAsia="Arial" w:cs="Arial"/>
          <w:b w:val="0"/>
          <w:i/>
          <w:sz w:val="18"/>
        </w:rPr>
        <w:t>Citations: 073 - Trusted Computing, slide 14; 073 - Trusted Computing, slide 15</w:t>
      </w:r>
    </w:p>
    <w:p>
      <w:pPr>
        <w:spacing w:before="160" w:after="80"/>
        <w:jc w:val="center"/>
      </w:pPr>
      <w:r>
        <w:rPr>
          <w:rFonts w:ascii="Arial" w:hAnsi="Arial" w:eastAsia="Arial" w:cs="Arial"/>
          <w:b w:val="0"/>
          <w:i/>
          <w:sz w:val="18"/>
        </w:rPr>
        <w:t>End of marking scheme.</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 Id="rId15"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