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3 slot(s). Supported theory: 19 slots. Placeholders: 2.</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3 computed, 19 supported by lecture slides, 2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computed - matches lecture slides 5-9 (Caesar shift 3 examples)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Caesar Cipher technique, decrypt the following ciphertext with a shift of 7 (replace each letter with the one 7 positions to the left).</w:t>
        <w:br/>
        <w:t>KLCPJLYLABYULKHUKDPWLKVUL</w:t>
      </w:r>
    </w:p>
    <w:p>
      <w:pPr>
        <w:spacing w:before="60" w:after="20"/>
      </w:pPr>
      <w:r>
        <w:rPr>
          <w:rFonts w:ascii="Arial" w:hAnsi="Arial" w:eastAsia="Arial" w:cs="Arial"/>
          <w:b/>
          <w:i w:val="0"/>
          <w:sz w:val="20"/>
        </w:rPr>
        <w:t>Answer: DEVICERETURNEDANDWIPEDONE</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C ( 2) -7 mod 26 -&gt; V</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J ( 9) -7 mod 26 -&gt; C</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A ( 0) -7 mod 26 -&gt; T</w:t>
      </w:r>
    </w:p>
    <w:p>
      <w:pPr>
        <w:spacing w:before="0" w:after="0"/>
        <w:ind w:left="227"/>
      </w:pPr>
      <w:r>
        <w:rPr>
          <w:rFonts w:ascii="Courier New" w:hAnsi="Courier New" w:eastAsia="Courier New" w:cs="Courier New"/>
          <w:b w:val="0"/>
          <w:i w:val="0"/>
          <w:sz w:val="17"/>
        </w:rPr>
        <w:t xml:space="preserve">  B ( 1) -7 mod 26 -&gt; U</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H ( 7) -7 mod 26 -&gt; A</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D ( 3) -7 mod 26 -&gt; W</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W (22) -7 mod 26 -&gt; P</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V (21) -7 mod 26 -&gt; O</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80" w:after="40"/>
      </w:pPr>
      <w:r>
        <w:rPr>
          <w:rFonts w:ascii="Arial" w:hAnsi="Arial" w:eastAsia="Arial" w:cs="Arial"/>
          <w:b w:val="0"/>
          <w:i/>
          <w:sz w:val="18"/>
        </w:rPr>
        <w:t>Suggested marks: 1 mark for identifying the cipher/shift direction; 1 mark for the complete plaintext.</w:t>
      </w:r>
    </w:p>
    <w:p>
      <w:pPr>
        <w:spacing w:before="0" w:after="120"/>
      </w:pPr>
      <w:r>
        <w:rPr>
          <w:rFonts w:ascii="Arial" w:hAnsi="Arial" w:eastAsia="Arial" w:cs="Arial"/>
          <w:b w:val="0"/>
          <w:i/>
          <w:sz w:val="18"/>
        </w:rPr>
        <w:t>Confidence: computed - matches lecture slides 5-9 (Caesar shift 3 examples).</w:t>
      </w:r>
    </w:p>
    <w:p>
      <w:pPr>
        <w:spacing w:before="200" w:after="40"/>
      </w:pPr>
      <w:r>
        <w:rPr>
          <w:rFonts w:ascii="Arial" w:hAnsi="Arial" w:eastAsia="Arial" w:cs="Arial"/>
          <w:b/>
          <w:i w:val="0"/>
          <w:sz w:val="22"/>
        </w:rPr>
        <w:t>A1b - 6 marks - PLACEHOLDER</w:t>
      </w:r>
    </w:p>
    <w:p>
      <w:pPr>
        <w:spacing w:before="0" w:after="20"/>
      </w:pPr>
      <w:r>
        <w:rPr>
          <w:rFonts w:ascii="Arial" w:hAnsi="Arial" w:eastAsia="Arial" w:cs="Arial"/>
          <w:b w:val="0"/>
          <w:i w:val="0"/>
          <w:sz w:val="19"/>
        </w:rPr>
        <w:t>Topic: classical ciphers; command: Describe</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A1b point 6: marking point is a verbatim copy of its quote; phrase the point as an answer requirement, not as copied slide text</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transposition cipher techniques covered in the lecture and, for each, state how the cipher-text is produced from the plain-text.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Columnar transposition: the plain-text is placed into the rows of a matrix and the cipher-text is then read out column by column.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20</w:t>
              <w:br/>
              <w:t>031 -​ Classical Cryptography::​s20::​1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Rail fence: the plain-text is written in a zigzag pattern across rows, and the cipher-text is obtained by reading the letters off row by row.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25</w:t>
              <w:br/>
              <w:t>031 -​ Classical Cryptography::​s25::​1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20; 031 - Classical Cryptography, slide 25</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the chain of trust in the Trusted Computing architecture, including how measurements are recorded and where the chain begins.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the chain are stored in Platform Configuration Registers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facts about the two primary system components of the Next Generation Secure Computing Base (NGSCB), covering the Nexus and the Nexus Computing Agent (NCA).</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NGSCB has two primary system components, namely the Nexus and the Nexus Computing Agent (NCA).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provides the application interface to the TPM and does not trust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the Chinese Wall model differs from traditional access control policies, referring to the type of concern it addresses and how access rights behave over time.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is designed to address a very specific concern, namely conflicts of interest involving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in the Chinese Wall model change dynamically, since what a subject may access depends on the history of its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27</w:t>
      </w:r>
    </w:p>
    <w:p>
      <w:pPr>
        <w:spacing w:before="0" w:after="80"/>
      </w:pPr>
      <w:r>
        <w:rPr>
          <w:rFonts w:ascii="Arial" w:hAnsi="Arial" w:eastAsia="Arial" w:cs="Arial"/>
          <w:b w:val="0"/>
          <w:i/>
          <w:sz w:val="18"/>
        </w:rPr>
        <w:t>Status: computed placeholder - no question generated for this type.</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the TWO (2) stages that make up the authentication process in a biometric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 which master characteristics are acquired, created and stored.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 which acquisition is repeated, a comparison is made and a decision is reached.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bank plans to deploy biometric authentication at its branch counters. Explain the different categories of biometric technologies and the practical issues that must be considered when choosing a biometric mechanism for this deployment.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biometric applications are divided into two sectors, namely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Give examples of physiological biometrics such as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Give examples of behavioural biometrics such as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a biometric is a physiological or behavioural characteristic that can distinguish one person from another and can be used for identification or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fingerprint biometrics suffer from disadvantages such as racial issues, dirt, grime and wounds, and finger placement.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Note that fingerprint systems can be spoofed, so liveness detection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network-based IDS sensors are placed in a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preventive network security mechanisms that an organization can deploy to protect its network, describing for each mechanism how it contributes to preventing or limiting security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filters traffic entering and leaving the network according to predefined security rules.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permissions needed for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typically disguise themselves as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Trojans steal private information from the infected machine.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techniques used by malware to propagate itself or to conceal its presence on an infected system, and explain the impact of each technique on the victim.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boot sector virus saves the original master boot record in a safe location before overwriting it with an infected version.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8</w:t>
              <w:br/>
              <w:t>051 -​ Software Security::​s08::​1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COM executable virus appends its virus body to a program and replaces the program entry point with a jump to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EXE executable virus overwrites a program header so that the entry point switches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rootkit masks malicious processes and software in the infected system to ensure privileged remote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is usually installed after a vulnerability has been found and detected, so the infected computer stays under the malware author's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steals user logins and passwords, documents sites visited, logs keystrokes and redirects browsers, leading to identity theft and compromised bank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8; 051 - Software Security, slide 9</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the web server function that copies input into a fixed-size local buffer, and state what an attacker can achieve by exploiting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the copying routine does not verify the length of the input string, so a longer string than the buffer can hold spills over.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By controlling the overflowing content, the attacker can overwrite the saved return address with an arbitrary value and thereby hijack the execution flow of the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Windows is often described as offering rich built-in security, yet it remains a frequent target of attack. Explain six aspects of Windows security mechanisms, covering the overall nature of these mechanisms, the directory service for organising resources, how subjects and their credentials are handled, the registry's security role, the historical security milestones, and the risk that complexity itself creates.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built-in mechanisms covering user accounts, object management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fine-grained control over diverse entities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Active Directory, introduced with Windows 2000, is an LDAP-like directory service used to organise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Windows, subjects are processes and threads, and their security credentials are held in a token.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registry is a hierarchical database holding critical system information, including security-related hives such as SAM and security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4</w:t>
              <w:br/>
              <w:t>041 -​ Windows Security::​s04::​1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complexity of Windows security is double-edged, since misconfiguration and implementation bugs can cause severe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4; 041 - Windows Security, slide 6</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PLACEHOLDER</w:t>
      </w:r>
    </w:p>
    <w:p>
      <w:pPr>
        <w:spacing w:before="0" w:after="20"/>
      </w:pPr>
      <w:r>
        <w:rPr>
          <w:rFonts w:ascii="Arial" w:hAnsi="Arial" w:eastAsia="Arial" w:cs="Arial"/>
          <w:b w:val="0"/>
          <w:i w:val="0"/>
          <w:sz w:val="19"/>
        </w:rPr>
        <w:t>Topic: attacks/malware; command: Explain</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A9a: sub-angle not followed; use one of ['confidentiality', 'integrity', 'availability', 'impact', 'harm', 'damage']</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Samy worm as a case study of a self-propagating web malware attack. In your answer, explain how the worm injected and spread its payload, how victims were drawn into triggering the malicious script, and what the outcome of the outbreak was.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manipulating the page body through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victim's list of friends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an XML-HTTP request against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profile had their own profile and friends list infected, so the worm spread from visitor to visitor.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outbreak ultimately infected approximately one million MySpace profiles, showing the scale a web worm can reach.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Users were lured into executing the malicious script inadvertently, for example by clicking an emailed link or an infected image.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an administrator can apply to password files and accounts in order to strengthen password-based authentication.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 to resist guessing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Based on the scenario in (a), explain how Kerberos, smartcards and single sign-on mechanisms can be used to authenticate users across a large distributed environment, giving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on users by cutting down the number of passwords they must remember.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also saves users time because they type passwords less often.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an example of a client-server single sign-on architecture.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Kerberos the user presents a user name and password at the client workstation to begin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derives a secret key for the client by hashing the user's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Smartcards are listed as an alternative authentication mechanism alongside biometrics and two-factor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19; 022 - Identification and Authentication, slide 24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junior developer at a healthcare software firm discovers that a colleague has been copying patients' records into a personal spreadsheet to speed up testing. When challenged, the colleague argues that no written rule forbids it and that the data is only used internally. The firm's management asks the security team to clarify how morals, ethics and laws apply before deciding on any action.</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morals, ethics and laws differ as guides for judging the colleague's conduct, and then explain how the ACM code would direct the developer's professional behaviour in this situation.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morals concern traditions of belief about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Describe ethics as a set of guiding beliefs, standards or ideals held by an individual, group or community.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Describe laws as formal rules of conduct imposed by a sovereign authority such as a government on its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that the ACM code requires the professional to respect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the professional must access computing and communication resources only when authorised or compelled by the public good.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5</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points about the professional code of ethics and conduct that the security team should present to management in the scenario, covering what such a code is, who defines it, an example of a professional body that issues one, and two limitations of relying on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professional code of ethics is a documented set of acceptable behaviours for a professional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defined by the group itself rather than imposed from outside.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ACM is an example of a professional body that has a code of ethics and professional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limitation is that the code may not reflect the ethics of every member of the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further limitation is that the code is often not enforceable because it is a code of conduct, not a legal document.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6; 071 - Ethics and Computer Security, slide 7; 071 - Ethics and Computer Security, slide 9</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hospital's file server stores patient records and administrative documents. The security team is comparing how access rights could be recorded for each file and each user, and wants a structure that is easy to verify and to manage as staff change roles.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access control structures available for implementing access policies, covering the access control matrix, access control lists and capabilities, and state the requirements such structures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the access control matrix as one of the basic structures for implementing access policies, alongside capabilities and ACLs.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that an ACL describes access rights from the object's point of view, listing which subjects may access that object and how.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Give one advantage of the access control matrix, namely that it is clearly defined and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Name the requirements that any access control structure must meet: expressing policies, verifiability of correctness, and scalability with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Note that in practice the most common instruments are ACLs, capabilities and various abstractions built on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18; 023 - Access Control and Authorization, slide 7; 023 - Access Control and Authorization,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goals that authorization aims to achieve and the role of the reference monitor in making authorization decisions, relating your discussion to the hospital file server in the scenario.</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Authorization must decide, for a given subject, which objects it may access and in what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Authorization must also decide, for a given object, which subjects may access it and in what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reference monitor is the component that makes the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Authorization/access control aims to achieve four goals: granting access, limiting access, preventing access,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the Windows architecture, the Security Reference Monitor performs ACL verification in kernel mode.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4; 041 - Windows Security, slide 3</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