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 xml:space="preserve">UNIVERSITI TEKNOLOGI MARA</w:t>
        <w:br/>
        <w:t xml:space="preserve">MARKING SCHEME</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 xml:space="preserve">MARKING SCHEME NOTES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 xml:space="preserve">This marking scheme accompanies the CSC662 mock paper (October 2026).</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 xml:space="preserve">Computed answers show working; theory answers are supported by lecture slides (not lecturer-marked); verbatim quotes are omitted in this public build; slide citations are retained.</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 xml:space="preserve">Supported theory marking points quote the lecture decks; any unresolved slot would remain a visible placeholder.</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Part A = 10 x (2 + 6); Part B = 2 x (5 + 5); total = 100 marks.</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 xml:space="preserve">Computed: 0 slot(s). Supported theory: 24 slots. Placeholders: 0.</w:t>
      </w:r>
      <w:proofErr w:type="spellStart"/>
      <w:proofErr w:type="spellEnd"/>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 xml:space="preserve">Questions and answers are for local study use only.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 xml:space="preserve">Near-copy rejection used all 35 past papers; style widening is recorded per slot.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 xml:space="preserve">FOR MARKERS' USE ONLY</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marking scheme consists of 16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pPr>
        <w:spacing w:before="0" w:after="80"/>
        <w:jc w:val="center"/>
      </w:pPr>
      <w:r>
        <w:rPr>
          <w:rFonts w:ascii="Arial" w:hAnsi="Arial" w:eastAsia="Arial" w:cs="Arial"/>
          <w:b/>
          <w:i w:val="0"/>
          <w:sz w:val="28"/>
        </w:rPr>
        <w:t>CSC662 - MARKING SCHEME (MOCK OCTOBER 2026)</w:t>
      </w:r>
    </w:p>
    <w:p>
      <w:pPr>
        <w:spacing w:before="0" w:after="80"/>
      </w:pPr>
      <w:r>
        <w:rPr>
          <w:rFonts w:ascii="Arial" w:hAnsi="Arial" w:eastAsia="Arial" w:cs="Arial"/>
          <w:b w:val="0"/>
          <w:i/>
          <w:sz w:val="18"/>
        </w:rPr>
        <w:t>Labels: computed / supported by lecture slides (not lecturer-marked) / placeholder. No official marking scheme exists for the real CSC662 papers; this is generated for the mock.</w:t>
      </w:r>
    </w:p>
    <w:p>
      <w:pPr>
        <w:spacing w:before="0" w:after="200"/>
      </w:pPr>
      <w:r>
        <w:rPr>
          <w:rFonts w:ascii="Arial" w:hAnsi="Arial" w:eastAsia="Arial" w:cs="Arial"/>
          <w:b w:val="0"/>
          <w:i/>
          <w:sz w:val="18"/>
        </w:rPr>
        <w:t>Entailment labels: supported = the private quote directly supports the point (or the point passed the stem-overlap gate); partly supported = partial/ambiguous support; not supported = no support. Quote text is omitted here; verdicts come from private verification.</w:t>
      </w:r>
    </w:p>
    <w:p>
      <w:pPr>
        <w:spacing w:before="0" w:after="120"/>
      </w:pPr>
      <w:r>
        <w:rPr>
          <w:rFonts w:ascii="Arial" w:hAnsi="Arial" w:eastAsia="Arial" w:cs="Arial"/>
          <w:b w:val="0"/>
          <w:i w:val="0"/>
          <w:sz w:val="20"/>
        </w:rPr>
        <w:t>Part A: 10 x (2 + 6) = 80 marks. Part B: 2 x (5 + 5) = 20 marks. Total: 100 marks. Slots: 0 computed, 24 supported by lecture slides, 0 placeholder.</w:t>
      </w:r>
    </w:p>
    <w:p>
      <w:pPr>
        <w:spacing w:before="0" w:after="200"/>
      </w:pPr>
      <w:r>
        <w:rPr>
          <w:rFonts w:ascii="Arial" w:hAnsi="Arial" w:eastAsia="Arial" w:cs="Arial"/>
          <w:b w:val="0"/>
          <w:i/>
          <w:sz w:val="18"/>
        </w:rPr>
        <w:t>Methods: computed answers use verified solvers. Theory answers are supported by lecture slides (not lecturer-marked). Each point carries a deck/slide citation and overlap score; verbatim quote text is omitted from this public build. Low overlap is flagged for human review.</w:t>
      </w:r>
    </w:p>
    <w:p>
      <w:pPr>
        <w:spacing w:before="240" w:after="40"/>
      </w:pPr>
      <w:r>
        <w:rPr>
          <w:rFonts w:ascii="Arial" w:hAnsi="Arial" w:eastAsia="Arial" w:cs="Arial"/>
          <w:b/>
          <w:i w:val="0"/>
          <w:sz w:val="24"/>
        </w:rPr>
        <w:t>PART A - QUESTION 1</w:t>
      </w:r>
    </w:p>
    <w:p>
      <w:pPr>
        <w:spacing w:before="200" w:after="40"/>
      </w:pPr>
      <w:r>
        <w:rPr>
          <w:rFonts w:ascii="Arial" w:hAnsi="Arial" w:eastAsia="Arial" w:cs="Arial"/>
          <w:b/>
          <w:i w:val="0"/>
          <w:sz w:val="22"/>
        </w:rPr>
        <w:t>A1a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characteristics of Trojan horse malware, including how it disguises itself and what harm it can cause once active on a host.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Trojan horses disguise themselves by appearing to be useful or benign programs so users install them unsuspectingly.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0.09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Once running, a Trojan can steal private data, delete files, capture keystrokes, or open a way for additional malware to be installed.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12</w:t>
      </w:r>
    </w:p>
    <w:p>
      <w:pPr>
        <w:spacing w:before="200" w:after="40"/>
      </w:pPr>
      <w:r>
        <w:rPr>
          <w:rFonts w:ascii="Arial" w:hAnsi="Arial" w:eastAsia="Arial" w:cs="Arial"/>
          <w:b/>
          <w:i w:val="0"/>
          <w:sz w:val="22"/>
        </w:rPr>
        <w:t>A1b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six techniques by which malware propagates itself or attaches its code to a host program, and describe the effect each technique has on the infected system.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virus can spread through boot sector infection, as shown by Elk Cloner which spread via boot sector infection.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worm can propagate across a network by exploiting a remote execution feature of a service, as Morris worm used a debugging feature of sendmail.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An executable COM infection appends the virus body to a program and replaces the program entry point with a jump to the virus body.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After the virus code runs in a COM infection, it restores the original entry point and jumps to it so the host program still executes.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An executable EXE infection overwrites the program header to switch the entry point to the virus.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In an EXE infection the virus jumps to the original entry point during execution so the infected program continues to run.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10; 051 - Software Security, slide 7; 051 - Software Security, slide 9</w:t>
      </w:r>
    </w:p>
    <w:p>
      <w:pPr>
        <w:spacing w:before="240" w:after="40"/>
      </w:pPr>
      <w:r>
        <w:rPr>
          <w:rFonts w:ascii="Arial" w:hAnsi="Arial" w:eastAsia="Arial" w:cs="Arial"/>
          <w:b/>
          <w:i w:val="0"/>
          <w:sz w:val="24"/>
        </w:rPr>
        <w:t>PART A - QUESTION 2</w:t>
      </w:r>
    </w:p>
    <w:p>
      <w:pPr>
        <w:spacing w:before="200" w:after="40"/>
      </w:pPr>
      <w:r>
        <w:rPr>
          <w:rFonts w:ascii="Arial" w:hAnsi="Arial" w:eastAsia="Arial" w:cs="Arial"/>
          <w:b/>
          <w:i w:val="0"/>
          <w:sz w:val="22"/>
        </w:rPr>
        <w:t>A2a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differences between morals and laws as forms of conduct guidance for computing professionals.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Morals are described as traditions of belief concerning right and wrong conduct within a society.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Laws are formal rules of conduct imposed by a sovereign authority such as a government on its subjects or citizens.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5</w:t>
      </w:r>
    </w:p>
    <w:p>
      <w:pPr>
        <w:spacing w:before="200" w:after="40"/>
      </w:pPr>
      <w:r>
        <w:rPr>
          <w:rFonts w:ascii="Arial" w:hAnsi="Arial" w:eastAsia="Arial" w:cs="Arial"/>
          <w:b/>
          <w:i w:val="0"/>
          <w:sz w:val="22"/>
        </w:rPr>
        <w:t>A2b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(6) professional conduct obligations that the ACM code places on a computing professional, and explain why such a documented code is needed to guide conduct in the computing profession.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professional must work to a high standard of quality in the processes and products of professional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professional must keep up high standards of competence, conduct and ethical practice.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professional must be aware of, and comply with, the rules that apply to professional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professional must give and receive suitable professional review of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professional must contribute to society and human well-being, recognising all people as stakeholders in computing.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 documented code is needed because it sets out a written record of the behaviours that are acceptable for a professional group.</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6</w:t>
              <w:br/>
              <w:t>071 -​ Ethics and Computer Security::​s06::​1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0.42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11; 071 - Ethics and Computer Security, slide 12; 071 - Ethics and Computer Security, slide 6</w:t>
      </w:r>
    </w:p>
    <w:p>
      <w:pPr>
        <w:spacing w:before="240" w:after="40"/>
      </w:pPr>
      <w:r>
        <w:rPr>
          <w:rFonts w:ascii="Arial" w:hAnsi="Arial" w:eastAsia="Arial" w:cs="Arial"/>
          <w:b/>
          <w:i w:val="0"/>
          <w:sz w:val="24"/>
        </w:rPr>
        <w:t>PART A - QUESTION 3</w:t>
      </w:r>
    </w:p>
    <w:p>
      <w:pPr>
        <w:spacing w:before="200" w:after="40"/>
      </w:pPr>
      <w:r>
        <w:rPr>
          <w:rFonts w:ascii="Arial" w:hAnsi="Arial" w:eastAsia="Arial" w:cs="Arial"/>
          <w:b/>
          <w:i w:val="0"/>
          <w:sz w:val="22"/>
        </w:rPr>
        <w:t>A3a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two stages of the biometric authentication process and state what happens during each stage.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identification stage involves acquiring the biometric sample, creating the master characteristics and storing them.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authentication stage involves further acquisition(s), comparison against the stored data and a decision.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5</w:t>
      </w:r>
    </w:p>
    <w:p>
      <w:pPr>
        <w:spacing w:before="200" w:after="40"/>
      </w:pPr>
      <w:r>
        <w:rPr>
          <w:rFonts w:ascii="Arial" w:hAnsi="Arial" w:eastAsia="Arial" w:cs="Arial"/>
          <w:b/>
          <w:i w:val="0"/>
          <w:sz w:val="22"/>
        </w:rPr>
        <w:t>A3b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facts about biometric mechanisms and technologies as presented in the course, covering the definition of a biometric, the two application sectors, the behavioural examples, the physiological examples, the fingerprint process, and the iris scanning advantages.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biometric is defined as a physiological or behavioural characteristic of a human being that can distinguish one person from another and can theoretically be used for identification or verification of identity.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2</w:t>
              <w:br/>
              <w:t>072 -​ Biometrics and Authentication::​s02::​1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Biometric applications available today are divided into two sectors.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behavioural category of biometrics includes voice, typing pattern and signature.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physiological category of biometrics includes iris, fingerprints, hand, retinal and face recognition.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In fingerprint processing, the print is divided into loops, whorls and arch, and minutiae points such as ridge endings are calculated.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6</w:t>
              <w:br/>
              <w:t>072 -​ Biometrics and Authentication::​s06::​1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Iris scanning requires no touch and overcomes the issues associated with retinal scanners.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10</w:t>
              <w:br/>
              <w:t>072 -​ Biometrics and Authentication::​s10::​1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0.22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072 - Biometrics and Authentication, slide 10; 072 - Biometrics and Authentication, slide 2; 072 - Biometrics and Authentication, slide 4; 072 - Biometrics and Authentication, slide 6</w:t>
      </w:r>
    </w:p>
    <w:p>
      <w:pPr>
        <w:spacing w:before="240" w:after="40"/>
      </w:pPr>
      <w:r>
        <w:rPr>
          <w:rFonts w:ascii="Arial" w:hAnsi="Arial" w:eastAsia="Arial" w:cs="Arial"/>
          <w:b/>
          <w:i w:val="0"/>
          <w:sz w:val="24"/>
        </w:rPr>
        <w:t>PART A - QUESTION 4</w:t>
      </w:r>
    </w:p>
    <w:p>
      <w:pPr>
        <w:spacing w:before="200" w:after="40"/>
      </w:pPr>
      <w:r>
        <w:rPr>
          <w:rFonts w:ascii="Arial" w:hAnsi="Arial" w:eastAsia="Arial" w:cs="Arial"/>
          <w:b/>
          <w:i w:val="0"/>
          <w:sz w:val="22"/>
        </w:rPr>
        <w:t>A4a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classes of threat and, for each, the type of harm it causes to a system's assets.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Disclosure is a threat class in which information is accessed without authorisation, harming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Deception is a threat class in which false data is accepted, harming integrity.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10</w:t>
      </w:r>
    </w:p>
    <w:p>
      <w:pPr>
        <w:spacing w:before="200" w:after="40"/>
      </w:pPr>
      <w:r>
        <w:rPr>
          <w:rFonts w:ascii="Arial" w:hAnsi="Arial" w:eastAsia="Arial" w:cs="Arial"/>
          <w:b/>
          <w:i w:val="0"/>
          <w:sz w:val="22"/>
        </w:rPr>
        <w:t>A4b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The Samy worm spread through MySpace by exploiting a cross-site scripting flaw. Explain how this worm injected its payload, how it harvested and recruited each victim's friends, and the scale of the resulting infection.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worm injected JavaScript into a user profile by writing to document.body.innerHTML.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It obtained the list of the victim's heroes by issuing a GET request on a user profile.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0.38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It added Samy as a field by performing XML-HTTP requests against the addFriends page.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Any user visiting an infected profile had their own profile and friends list infected with the JavaScript.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infection eventually reached roughly one million MySpace profiles.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underlying flaw is that any web application returning user input without filtering is a potential XSS vulnerability.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13</w:t>
              <w:br/>
              <w:t>052 -​ Web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052 - Web Security, slide 13; 052 - Web Security, slide 15</w:t>
      </w:r>
    </w:p>
    <w:p>
      <w:pPr>
        <w:spacing w:before="240" w:after="40"/>
      </w:pPr>
      <w:r>
        <w:rPr>
          <w:rFonts w:ascii="Arial" w:hAnsi="Arial" w:eastAsia="Arial" w:cs="Arial"/>
          <w:b/>
          <w:i w:val="0"/>
          <w:sz w:val="24"/>
        </w:rPr>
        <w:t>PART A - QUESTION 5</w:t>
      </w:r>
    </w:p>
    <w:p>
      <w:pPr>
        <w:spacing w:before="200" w:after="40"/>
      </w:pPr>
      <w:r>
        <w:rPr>
          <w:rFonts w:ascii="Arial" w:hAnsi="Arial" w:eastAsia="Arial" w:cs="Arial"/>
          <w:b/>
          <w:i w:val="0"/>
          <w:sz w:val="22"/>
        </w:rPr>
        <w:t>A5a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ethical impacts that technology can have on society, and describe how a professional code of ethics helps computing professionals respond to such impacts.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Technology can affect society by raising questions about acceptable standards of behaviour, which a code of ethics helps to clarify.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8</w:t>
              <w:br/>
              <w:t>071 -​ Ethics and Computer Security::​s08::​1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0.14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Technology impacts everyone, so a code communicates shared guidelines that all professionals can follow.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8</w:t>
              <w:br/>
              <w:t>071 -​ Ethics and Computer Security::​s08::​1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8</w:t>
      </w:r>
    </w:p>
    <w:p>
      <w:pPr>
        <w:spacing w:before="200" w:after="40"/>
      </w:pPr>
      <w:r>
        <w:rPr>
          <w:rFonts w:ascii="Arial" w:hAnsi="Arial" w:eastAsia="Arial" w:cs="Arial"/>
          <w:b/>
          <w:i w:val="0"/>
          <w:sz w:val="22"/>
        </w:rPr>
        <w:t>A5b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 to your answer in (a). Based on the scenario in (a), discuss how the computing professional's responsibility for privacy should be exercised, referring to the ACM code of ethics and professional conduct and to the responsibilities of information specialists working within ethical, moral, and legal constraints.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professional should recognise that the ACM is a professional body that maintains a code of ethics and professional conduct to guide members.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professional should acknowledge that merely describing the moral and ethical dimensions of ICT is insufficient when handling private data.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0.39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professional should accept that users in general, and information specialists in particular, have definite responsibilities for performing within ethical, moral, and legal constraints.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0.82</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professional should be aware that other bodies such as AITP provide quality IT-related education and forums for networking with experienced peers, supporting responsible conduct.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professional should recognise that the IEEE Computer Society is another professional body whose code can guide conduct.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7</w:t>
              <w:br/>
              <w:t>071 -​ Ethics and Computer Security::​s07::​1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0.23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Information specialists must carry out their duties within ethical, moral, and legal constraints, which is a definite responsibility.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3</w:t>
              <w:br/>
              <w:t>071 -​ Ethics and Computer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0.69</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3; 071 - Ethics and Computer Security, slide 7</w:t>
      </w:r>
    </w:p>
    <w:p>
      <w:pPr>
        <w:spacing w:before="240" w:after="40"/>
      </w:pPr>
      <w:r>
        <w:rPr>
          <w:rFonts w:ascii="Arial" w:hAnsi="Arial" w:eastAsia="Arial" w:cs="Arial"/>
          <w:b/>
          <w:i w:val="0"/>
          <w:sz w:val="24"/>
        </w:rPr>
        <w:t>PART A - QUESTION 6</w:t>
      </w:r>
    </w:p>
    <w:p>
      <w:pPr>
        <w:spacing w:before="200" w:after="40"/>
      </w:pPr>
      <w:r>
        <w:rPr>
          <w:rFonts w:ascii="Arial" w:hAnsi="Arial" w:eastAsia="Arial" w:cs="Arial"/>
          <w:b/>
          <w:i w:val="0"/>
          <w:sz w:val="22"/>
        </w:rPr>
        <w:t>A6a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Chinese Wall model as a formal security model, stating the concern it is designed to address and how its access decisions differ from static policies.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Chinese Wall model is designed to address conflicts of interest affecting a consultant or contractor.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27</w:t>
              <w:br/>
              <w:t>024 -​ Formal Security Model::​s27::​1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Access decisions in the Chinese Wall model depend on the subject's history of past accesses, so permissions change dynamically.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24</w:t>
              <w:br/>
              <w:t>024 -​ Formal Security Model::​s24::​1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0.42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24; 024 - Formal Security Model, slide 27</w:t>
      </w:r>
    </w:p>
    <w:p>
      <w:pPr>
        <w:spacing w:before="200" w:after="40"/>
      </w:pPr>
      <w:r>
        <w:rPr>
          <w:rFonts w:ascii="Arial" w:hAnsi="Arial" w:eastAsia="Arial" w:cs="Arial"/>
          <w:b/>
          <w:i w:val="0"/>
          <w:sz w:val="22"/>
        </w:rPr>
        <w:t>A6b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Compare the access control matrix, access control lists and capability lists as structures for implementing access policies, and explain the requirements that any such access control structure must satisfy.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Access control structures are mechanisms used to implement access policies, and the matrix, capability lists and ACLs are named examples of such structures.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access control matrix is one of the listed structures for implementing access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Capability lists (C-List) are one of the listed structures for implementing access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0.20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Access control lists (ACL) are one of the listed structures for implementing access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required property of an access control structure is the ability to express control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Further requirements are verifiability of correctness together with scalability and manageability.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7</w:t>
              <w:br/>
              <w:t>023 -​ Access Control and Authorization::​s07::​1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0.14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023 - Access Control and Authorization, slide 7</w:t>
      </w:r>
    </w:p>
    <w:p>
      <w:pPr>
        <w:spacing w:before="240" w:after="40"/>
      </w:pPr>
      <w:r>
        <w:rPr>
          <w:rFonts w:ascii="Arial" w:hAnsi="Arial" w:eastAsia="Arial" w:cs="Arial"/>
          <w:b/>
          <w:i w:val="0"/>
          <w:sz w:val="24"/>
        </w:rPr>
        <w:t>PART A - QUESTION 7</w:t>
      </w:r>
    </w:p>
    <w:p>
      <w:pPr>
        <w:spacing w:before="200" w:after="40"/>
      </w:pPr>
      <w:r>
        <w:rPr>
          <w:rFonts w:ascii="Arial" w:hAnsi="Arial" w:eastAsia="Arial" w:cs="Arial"/>
          <w:b/>
          <w:i w:val="0"/>
          <w:sz w:val="22"/>
        </w:rPr>
        <w:t>A7a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goals that access control pursues and the role of a reference monitor in realizing access control policies.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Access control has four goals: granting, limiting, preventing and revoking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0.88</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reference monitor is the component that makes authorization decisions.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023 - Access Control and Authorization, slide 4</w:t>
      </w:r>
    </w:p>
    <w:p>
      <w:pPr>
        <w:spacing w:before="200" w:after="40"/>
      </w:pPr>
      <w:r>
        <w:rPr>
          <w:rFonts w:ascii="Arial" w:hAnsi="Arial" w:eastAsia="Arial" w:cs="Arial"/>
          <w:b/>
          <w:i w:val="0"/>
          <w:sz w:val="22"/>
        </w:rPr>
        <w:t>A7b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points about the formal security models covered in the lecture, covering the BLP and Biba models, the Chinese Wall model, and the classification of the Chinese Wall policy.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BLP model is described as providing access control only.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Biba model is described as adding integrity verification on top of access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Chinese Wall model is characterized by the identification of conflicts of interest.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5</w:t>
              <w:br/>
              <w:t>024 -​ Formal Security Model::​s05::​1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Chinese Wall policy was proposed by Brewer and Nash in 1989 to address conflicts of interest.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21</w:t>
              <w:br/>
              <w:t>024 -​ Formal Security Model::​s21::​1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Strictly speaking, the Chinese Wall policy is an access control confidentiality policy rather than an integrity policy.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21</w:t>
              <w:br/>
              <w:t>024 -​ Formal Security Model::​s21::​1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Under the Chinese Wall simple security rule, a subject may access an object only if it lies within the Wall or belongs to an entirely different conflict of interest class.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25</w:t>
              <w:br/>
              <w:t>024 -​ Formal Security Model::​s25::​1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0.22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024 - Formal Security Model, slide 21; 024 - Formal Security Model, slide 25; 024 - Formal Security Model, slide 5</w:t>
      </w:r>
    </w:p>
    <w:p>
      <w:pPr>
        <w:spacing w:before="240" w:after="40"/>
      </w:pPr>
      <w:r>
        <w:rPr>
          <w:rFonts w:ascii="Arial" w:hAnsi="Arial" w:eastAsia="Arial" w:cs="Arial"/>
          <w:b/>
          <w:i w:val="0"/>
          <w:sz w:val="24"/>
        </w:rPr>
        <w:t>PART A - QUESTION 8</w:t>
      </w:r>
    </w:p>
    <w:p>
      <w:pPr>
        <w:spacing w:before="200" w:after="40"/>
      </w:pPr>
      <w:r>
        <w:rPr>
          <w:rFonts w:ascii="Arial" w:hAnsi="Arial" w:eastAsia="Arial" w:cs="Arial"/>
          <w:b/>
          <w:i w:val="0"/>
          <w:sz w:val="22"/>
        </w:rPr>
        <w:t>A8a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facts about the chain of trust in trusted computing, including how measurements are recorded and where the chain begins.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Each stage of the chain measures and validates the following stage.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measurements are stored in Platform Configuration Registers (PCRs) on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8</w:t>
      </w:r>
    </w:p>
    <w:p>
      <w:pPr>
        <w:spacing w:before="200" w:after="40"/>
      </w:pPr>
      <w:r>
        <w:rPr>
          <w:rFonts w:ascii="Arial" w:hAnsi="Arial" w:eastAsia="Arial" w:cs="Arial"/>
          <w:b/>
          <w:i w:val="0"/>
          <w:sz w:val="22"/>
        </w:rPr>
        <w:t>A8b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roles of the two primary system components of the Next Generation Secure Computing Base (NGSCB), describing what each component does and how they relate to the trusted platform.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Nexus is a special kernel that forms the core of the trusted operating environment.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Nexus isolates normal-mode processes from trusted-mode processes by placing them differently in memory.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Nexus authenticates and protects data that is entered, stored, communicated, and displayed by encrypting it.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13</w:t>
              <w:br/>
              <w:t>073 -​ Trusted Computing::​s13::​1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Nexus acts as the application interface to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Nexus is a security kernel that is authenticated on boot and authenticates trusted programs.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Nexus Computing Agent is a trusted software component that runs in trusted mode and communicates with Nexus.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073 - Trusted Computing, slide 13; 073 - Trusted Computing, slide 14; 073 - Trusted Computing, slide 15</w:t>
      </w:r>
    </w:p>
    <w:p>
      <w:pPr>
        <w:spacing w:before="240" w:after="40"/>
      </w:pPr>
      <w:r>
        <w:rPr>
          <w:rFonts w:ascii="Arial" w:hAnsi="Arial" w:eastAsia="Arial" w:cs="Arial"/>
          <w:b/>
          <w:i w:val="0"/>
          <w:sz w:val="24"/>
        </w:rPr>
        <w:t>PART A - QUESTION 9</w:t>
      </w:r>
    </w:p>
    <w:p>
      <w:pPr>
        <w:spacing w:before="200" w:after="40"/>
      </w:pPr>
      <w:r>
        <w:rPr>
          <w:rFonts w:ascii="Arial" w:hAnsi="Arial" w:eastAsia="Arial" w:cs="Arial"/>
          <w:b/>
          <w:i w:val="0"/>
          <w:sz w:val="22"/>
        </w:rPr>
        <w:t>A9a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(2) key points about software insecurity and buffer overflows as described in the Software Security lecture.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Software insecurity arises because attackers can modify system resources that are critical for program execution, such as the instruction pointer or function call addresses.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major source of software insecurity is the failure to validate user input.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30</w:t>
      </w:r>
    </w:p>
    <w:p>
      <w:pPr>
        <w:spacing w:before="200" w:after="40"/>
      </w:pPr>
      <w:r>
        <w:rPr>
          <w:rFonts w:ascii="Arial" w:hAnsi="Arial" w:eastAsia="Arial" w:cs="Arial"/>
          <w:b/>
          <w:i w:val="0"/>
          <w:sz w:val="22"/>
        </w:rPr>
        <w:t>A9b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six (6) aspects of Windows security mechanisms, covering the purpose of its access control facilities, the role of Active Directory and tokens, the historical security milestones, and the risks that arise from the complexity of these mechanisms.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Windows provides sophisticated mechanisms for managing user accounts, objects and access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Discretionary access control in Windows allows fine-grained control over diverse entities in the OS and in applications.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very complexity of Windows security can backfire, since misconfiguration and implementation bugs can cause serious incidents.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21</w:t>
              <w:br/>
              <w:t>041 -​ Windows Security::​s21::​1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Active Directory, introduced with Windows 2000, is an LDAP-like directory service used to organise system resources.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6</w:t>
              <w:br/>
              <w:t>041 -​ Windows Security::​s06::​1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0.91</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Security credentials for a Windows subject are held in a token, which maps principals to subjects and carries extra security attributes.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11</w:t>
              <w:br/>
              <w:t>041 -​ Windows Security::​s11::​1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Windows Vista (2007) marked a security milestone by removing admin-by-default and adding a firewall and DEP.</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041 - Windows Security, slide 2</w:t>
              <w:br/>
              <w:t>041 -​ Windows Security::​s02::​1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0.42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041 - Windows Security, slide 11; 041 - Windows Security, slide 2; 041 - Windows Security, slide 21; 041 - Windows Security, slide 6</w:t>
      </w:r>
    </w:p>
    <w:p>
      <w:pPr>
        <w:spacing w:before="240" w:after="40"/>
      </w:pPr>
      <w:r>
        <w:rPr>
          <w:rFonts w:ascii="Arial" w:hAnsi="Arial" w:eastAsia="Arial" w:cs="Arial"/>
          <w:b/>
          <w:i w:val="0"/>
          <w:sz w:val="24"/>
        </w:rPr>
        <w:t>PART A - QUESTION 10</w:t>
      </w:r>
    </w:p>
    <w:p>
      <w:pPr>
        <w:spacing w:before="200" w:after="40"/>
      </w:pPr>
      <w:r>
        <w:rPr>
          <w:rFonts w:ascii="Arial" w:hAnsi="Arial" w:eastAsia="Arial" w:cs="Arial"/>
          <w:b/>
          <w:i w:val="0"/>
          <w:sz w:val="22"/>
        </w:rPr>
        <w:t>A10a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ways in which an intrusion detection system can help defend a system against attacks, according to the lecture.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An IDS can verify whether an attack succeeded or failed by reviewing HIDS log entries.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14</w:t>
              <w:br/>
              <w:t>062 -​ Intrusion Detection System::​s14::​1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An IDS can provide near real-time detection and response to attacks.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14</w:t>
              <w:br/>
              <w:t>062 -​ Intrusion Detection System::​s14::​1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062 - Intrusion Detection System, slide 14</w:t>
      </w:r>
    </w:p>
    <w:p>
      <w:pPr>
        <w:spacing w:before="200" w:after="40"/>
      </w:pPr>
      <w:r>
        <w:rPr>
          <w:rFonts w:ascii="Arial" w:hAnsi="Arial" w:eastAsia="Arial" w:cs="Arial"/>
          <w:b/>
          <w:i w:val="0"/>
          <w:sz w:val="22"/>
        </w:rPr>
        <w:t>A10b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three classes of threat to a computer system and, for each class, state one countermeasure that the lecture associates with preventing, detecting or recovering from it.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threat is defined as an entity that represents a constant danger to an asset, i.e. a potential violation of security rather than an actual one.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28</w:t>
              <w:br/>
              <w:t>011 -​ Introduction to Computer Security::​s28::​1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threat is only a potential violation of security, whereas an attack is the actual violation, so the two classes must be distinguished.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9</w:t>
              <w:br/>
              <w:t>011 -​ Introduction to Computer Security::​s09::​1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0.36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Software threats form a class that includes modification of program code and self-replicating code such as viruses.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w:t>
              <w:br/>
              <w:t>051 -​ Software Security::​s02::​1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0.42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Malicious software such as spyware is a threat class that steals user logins and passwords and can lead to identity theft.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countermeasure for the threat of vulnerable software is prevention through vulnerability scanning and software updates.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19</w:t>
              <w:br/>
              <w:t>011 -​ Introduction to Computer Security::​s19::​1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Detection countermeasures against threats include antivirus programs and intrusion detection systems.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19</w:t>
              <w:br/>
              <w:t>011 -​ Introduction to Computer Security::​s19::​1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011 - Introduction to Computer Security, slide 19; 011 - Introduction to Computer Security, slide 28; 011 - Introduction to Computer Security, slide 9; 051 - Software Security, slide 13; 051 - Software Security, slide 2</w:t>
      </w:r>
    </w:p>
    <w:p>
      <w:pPr>
        <w:spacing w:before="240" w:after="40"/>
      </w:pPr>
      <w:r>
        <w:rPr>
          <w:rFonts w:ascii="Arial" w:hAnsi="Arial" w:eastAsia="Arial" w:cs="Arial"/>
          <w:b/>
          <w:i w:val="0"/>
          <w:sz w:val="24"/>
        </w:rPr>
        <w:t>PART B - QUESTION 1</w:t>
      </w:r>
    </w:p>
    <w:p>
      <w:pPr>
        <w:spacing w:before="200" w:after="40"/>
      </w:pPr>
      <w:r>
        <w:rPr>
          <w:rFonts w:ascii="Arial" w:hAnsi="Arial" w:eastAsia="Arial" w:cs="Arial"/>
          <w:b/>
          <w:i w:val="0"/>
          <w:sz w:val="22"/>
        </w:rPr>
        <w:t>B1a - 5 marks - supported by lecture slides (not lecturer-marked)</w:t>
      </w:r>
    </w:p>
    <w:p>
      <w:pPr>
        <w:spacing w:before="20" w:after="20"/>
      </w:pPr>
      <w:r>
        <w:rPr>
          <w:rFonts w:ascii="Arial" w:hAnsi="Arial" w:eastAsia="Arial" w:cs="Arial"/>
          <w:b/>
          <w:i w:val="0"/>
          <w:sz w:val="19"/>
        </w:rPr>
        <w:t>Scenario:</w:t>
      </w:r>
    </w:p>
    <w:p>
      <w:pPr>
        <w:spacing w:before="0" w:after="60"/>
        <w:ind w:left="227"/>
      </w:pPr>
      <w:r>
        <w:rPr>
          <w:rFonts w:ascii="Arial" w:hAnsi="Arial" w:eastAsia="Arial" w:cs="Arial"/>
          <w:b w:val="0"/>
          <w:i/>
          <w:sz w:val="18"/>
        </w:rPr>
        <w:t>A system administrator is reviewing how a shared UNIX server protects its user accounts. She wants to strengthen the controls applied to the stored password files and to the way accounts behave after repeated failed logins, while keeping the login process usable for staff.</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FIVE (5) password security controls that can be applied to protect user accounts on a shared system, as presented in the course.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Access control should be applied to the password files themselves.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Accounts should be de-activated after multiple failed login attempts.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system should display the time of the last login to the user.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Password policies should be defined, for example for the root password.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Passwords should be stored in an encrypted form using a one-way hash function.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8</w:t>
              <w:br/>
              <w:t>022 -​ Identification and Authentication::​s08::​1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0.88</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12; 022 - Identification and Authentication, slide 8</w:t>
      </w:r>
    </w:p>
    <w:p>
      <w:pPr>
        <w:spacing w:before="200" w:after="40"/>
      </w:pPr>
      <w:r>
        <w:rPr>
          <w:rFonts w:ascii="Arial" w:hAnsi="Arial" w:eastAsia="Arial" w:cs="Arial"/>
          <w:b/>
          <w:i w:val="0"/>
          <w:sz w:val="22"/>
        </w:rPr>
        <w:t>B1b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The administrator in the scenario is considering single sign-on for the shared UNIX server. Explain how Kerberos and related single sign-on mechanisms address authentication in such an environment, giving FIVE (5) points as presented in the course.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Single sign-on reduces the burden of remembering passwords for users.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Single sign-on reduces the time users spend typing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Kerberos is a single sign-on method that automates authentication across large distributed environments.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24</w:t>
              <w:br/>
              <w:t>022 -​ Identification and Authentication::​s24::​1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Kerberos is designed to resist eavesdropping by never sending passwords in clear 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Kerberos is transparent, so the user is unaware of any authentication beyond the initial login.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18</w:t>
              <w:br/>
              <w:t>022 -​ Identification and Authentication::​s18::​1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022 - Identification and Authentication, slide 16; 022 - Identification and Authentication, slide 18; 022 - Identification and Authentication, slide 24</w:t>
      </w:r>
    </w:p>
    <w:p>
      <w:pPr>
        <w:spacing w:before="240" w:after="40"/>
      </w:pPr>
      <w:r>
        <w:rPr>
          <w:rFonts w:ascii="Arial" w:hAnsi="Arial" w:eastAsia="Arial" w:cs="Arial"/>
          <w:b/>
          <w:i w:val="0"/>
          <w:sz w:val="24"/>
        </w:rPr>
        <w:t>PART B - QUESTION 2</w:t>
      </w:r>
    </w:p>
    <w:p>
      <w:pPr>
        <w:spacing w:before="200" w:after="40"/>
      </w:pPr>
      <w:r>
        <w:rPr>
          <w:rFonts w:ascii="Arial" w:hAnsi="Arial" w:eastAsia="Arial" w:cs="Arial"/>
          <w:b/>
          <w:i w:val="0"/>
          <w:sz w:val="22"/>
        </w:rPr>
        <w:t>B2a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architecture of a Network-Based Intrusion Detection System by describing how sensors should be placed and what strengths this architecture offers the campus network team.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Sensors must be positioned deliberately so that the most valuable assets are defended.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typical sensor location is just inside the firewall.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Because the IDS is shared, the overall cost of ownership is lower.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8</w:t>
              <w:br/>
              <w:t>062 -​ Intrusion Detection System::​s08::​1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sensor can examine all network traffic through packet analysis.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8</w:t>
              <w:br/>
              <w:t>062 -​ Intrusion Detection System::​s08::​1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Captured packets are stored on a separate machine, which supports evidence preservation.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8</w:t>
              <w:br/>
              <w:t>062 -​ Intrusion Detection System::​s08::​1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062 - Intrusion Detection System, slide 7; 062 - Intrusion Detection System, slide 8</w:t>
      </w:r>
    </w:p>
    <w:p>
      <w:pPr>
        <w:spacing w:before="200" w:after="40"/>
      </w:pPr>
      <w:r>
        <w:rPr>
          <w:rFonts w:ascii="Arial" w:hAnsi="Arial" w:eastAsia="Arial" w:cs="Arial"/>
          <w:b/>
          <w:i w:val="0"/>
          <w:sz w:val="22"/>
        </w:rPr>
        <w:t>B2b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five preventive network security mechanisms that a campus network team could deploy, giving for each the specific protective role it plays in controlling or securing network traffic.</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firewall screens traffic entering and leaving the network according to rules set in advance.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proxy server improves both data protection and network throughput while also filtering web content.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Network segmentation draws boundaries so that assets sharing a function, risk or role sit inside the same segment.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0.58</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remote access VPN lets individual hosts or clients reach the organization network securely from outside.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Zero Trust Network Access restricts each user to only the access and permissions their role actually needs.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0.46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061 - Network Security, slide 3; 061 - Network Security, slide 4</w:t>
      </w:r>
    </w:p>
    <w:p>
      <w:pPr>
        <w:spacing w:before="160" w:after="80"/>
        <w:jc w:val="center"/>
      </w:pPr>
      <w:r>
        <w:rPr>
          <w:rFonts w:ascii="Arial" w:hAnsi="Arial" w:eastAsia="Arial" w:cs="Arial"/>
          <w:b w:val="0"/>
          <w:i/>
          <w:sz w:val="18"/>
        </w:rPr>
        <w:t>End of marking scheme.</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