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differences between morals and laws as forms of conduct guidance for computing professionals.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Discuss how a professional code of ethics and conduct guides the behaviour of a computing professional, referring to the ACM code and its professional conduct expectations. Support your discussion with six distinct requirements.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substitution cipher conceals the original message and what role the substitution rule plays in that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the two stages of the biometric authentication process and, for each stage, name the activities it involves.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State six facts about biometric mechanisms and technologies as covered in the course, covering the definition of a biometric, the two application sectors, the behavioural examples, the physiological examples, the fingerprint process, and the iris scanning advantages.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List two formal security models named in the lecture and, for each, state the specific security concern it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[COMPUTED PLACEHOLDER - acm, 6 marks]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Explain how malware such as viruses and worms propagate and conceal themselves, giving six distinct techniques or behaviours drawn from the history and mechanics of malware.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how a network-based intrusion detection system (NIDS) should be architected, with particular reference to where its sensors are placed.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Refer to your answer in (a). Explain how preventive network security mechanisms such as firewalls, proxy servers, network segmentation and remote access VPNs reduce the workload and exposure of the detection system you described, giving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how a chain of trust is established in the Trusted Computing architecture, with reference to the TPM and the measurement of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six (6) components and characteristics of the Next Generation Secure Computing Base (NGSCB), focusing on the Nexus and the Nexus Computing Agent (NCA).</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List two classes of threats and, for each, state the security objective whose violation represents the harm caused to the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State six (6) facts about the Samy worm as a case study of a cross-site scripting (XSS) attack, covering how the malicious script was injected, how it spread to other users, and the scale of the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ways in which an intrusion detection system contributes to detecting and defending against attacks on a computer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Describe six (6) distinct software threat classes or attack techniques that can compromise a computer system, and for each, state the security objective that the attack violates.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how a buffer overflow arises in a program such as one using strcpy(), and state why this class of flaw is so widely exploited by attackers.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six Windows security mechanisms and features that support user account management, object access control and system protection, and discuss why the complexity of these mechanisms can itself become a security weakness.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the access control structures used to implement access policies, covering the access control matrix, access control lists and capabilities, and the requirements these structures must satisfy.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the goals that access control is intended to achieve and the role of the reference monitor in making authorization decisions, including how a reference monitor is realised in the Windows security architecture.</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small company runs a shared Linux server where staff log in with user names and passwords. The administrator is reviewing how password files are protected and how accounts are handled after repeated failed logins, and wants to tighten the password controls in place.</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password security controls that an administrator can apply to protect user accounts and password files on a multi-user system.</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The administrator in the scenario wants to reduce the burden of password handling for staff on the shared server. State five points about single sign-on, Kerberos and smart cards as authentication mechanisms that the administrator could rely on.</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